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28" w:rsidRPr="00C16C62" w:rsidRDefault="00A94F28" w:rsidP="00C16C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C62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  <w:r w:rsidR="00C16C62" w:rsidRPr="00C16C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C16C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C16C62" w:rsidRPr="00C16C62">
        <w:rPr>
          <w:rFonts w:ascii="Times New Roman" w:eastAsia="Calibri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eastAsia="Calibri" w:hAnsi="Times New Roman" w:cs="Times New Roman"/>
          <w:b/>
          <w:sz w:val="24"/>
          <w:szCs w:val="24"/>
        </w:rPr>
        <w:br/>
        <w:t>КУМЫЛЖЕНСКОГО МУНИЦИПАЛЬНОГО РАЙОНА</w:t>
      </w:r>
      <w:r w:rsidR="00C16C62" w:rsidRPr="00C16C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6C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Pr="00C16C62">
        <w:rPr>
          <w:rFonts w:ascii="Times New Roman" w:eastAsia="Calibri" w:hAnsi="Times New Roman" w:cs="Times New Roman"/>
          <w:b/>
          <w:sz w:val="24"/>
          <w:szCs w:val="24"/>
        </w:rPr>
        <w:t>ВОЛГОГРАДСКОЙ ОБЛАСТИ</w:t>
      </w:r>
    </w:p>
    <w:p w:rsidR="00A94F28" w:rsidRPr="00C16C62" w:rsidRDefault="0075239F" w:rsidP="00A94F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C62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pict>
          <v:line id="Прямая соединительная линия 3" o:spid="_x0000_s1026" style="position:absolute;left:0;text-align:left;z-index:251660288;visibility:visibl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" o:allowincell="f" strokeweight="2pt">
            <v:stroke startarrowwidth="narrow" startarrowlength="short" endarrowwidth="narrow" endarrowlength="short"/>
          </v:line>
        </w:pict>
      </w:r>
      <w:r w:rsidRPr="00C16C62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pict>
          <v:line id="Прямая соединительная линия 2" o:spid="_x0000_s1027" style="position:absolute;left:0;text-align:left;z-index:251661312;visibility:visibl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LzYwIAAJI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" o:allowincell="f" strokeweight=".5pt">
            <v:stroke startarrowwidth="narrow" startarrowlength="short" endarrowwidth="narrow" endarrowlength="short"/>
          </v:line>
        </w:pict>
      </w:r>
    </w:p>
    <w:p w:rsidR="00A94F28" w:rsidRPr="00C16C62" w:rsidRDefault="00A94F28" w:rsidP="00C16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94F28" w:rsidRPr="00C16C62" w:rsidRDefault="00A94F28" w:rsidP="00A94F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F28" w:rsidRPr="00C16C62" w:rsidRDefault="00A94F28" w:rsidP="00A94F2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16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0</w:t>
      </w:r>
      <w:r w:rsidR="00C16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C16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февраля 2022 г.                                                                                            № </w:t>
      </w:r>
      <w:r w:rsidR="00C16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C16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</w:p>
    <w:p w:rsidR="00A94F28" w:rsidRPr="00C16C62" w:rsidRDefault="00A94F28" w:rsidP="00A94F2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A94F28" w:rsidRPr="00C16C62" w:rsidRDefault="00A94F28" w:rsidP="00C16C6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«Об утверждении Порядка оценки налоговых расходов </w:t>
      </w:r>
      <w:r w:rsidR="00C16C62">
        <w:rPr>
          <w:rFonts w:ascii="Times New Roman" w:hAnsi="Times New Roman" w:cs="Times New Roman"/>
          <w:b/>
          <w:color w:val="000000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Кумылженского муниципального района</w:t>
      </w:r>
      <w:r w:rsid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>Волгоградской области»</w:t>
      </w:r>
    </w:p>
    <w:p w:rsidR="00A94F28" w:rsidRPr="00C16C62" w:rsidRDefault="00A94F28" w:rsidP="00A94F28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16C6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C16C6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22.06.2019 года N 796 "Об общих требованиях к оценке налоговых расходов субъектов Российской Федерации и муниципальных образований", </w:t>
      </w:r>
    </w:p>
    <w:p w:rsidR="00A94F28" w:rsidRPr="00C16C62" w:rsidRDefault="00A94F28" w:rsidP="00A94F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F28" w:rsidRPr="00C16C62" w:rsidRDefault="00A94F28" w:rsidP="00A94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1"/>
      <w:r w:rsidRPr="00C16C62">
        <w:rPr>
          <w:rFonts w:ascii="Times New Roman" w:hAnsi="Times New Roman" w:cs="Times New Roman"/>
          <w:b/>
          <w:sz w:val="24"/>
          <w:szCs w:val="24"/>
        </w:rPr>
        <w:t>1.</w:t>
      </w:r>
      <w:r w:rsidRPr="00C16C62">
        <w:rPr>
          <w:rFonts w:ascii="Times New Roman" w:hAnsi="Times New Roman" w:cs="Times New Roman"/>
          <w:sz w:val="24"/>
          <w:szCs w:val="24"/>
        </w:rPr>
        <w:t xml:space="preserve"> Утвердить прилагаемый </w:t>
      </w:r>
      <w:r w:rsidRPr="00C16C6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Pr="00C16C62">
        <w:rPr>
          <w:rFonts w:ascii="Times New Roman" w:hAnsi="Times New Roman" w:cs="Times New Roman"/>
          <w:sz w:val="24"/>
          <w:szCs w:val="24"/>
        </w:rPr>
        <w:t xml:space="preserve"> оценки налоговых расходов </w:t>
      </w:r>
      <w:bookmarkStart w:id="1" w:name="sub_2"/>
      <w:bookmarkEnd w:id="0"/>
      <w:r w:rsidR="00C16C62">
        <w:rPr>
          <w:rFonts w:ascii="Times New Roman" w:hAnsi="Times New Roman" w:cs="Times New Roman"/>
          <w:color w:val="000000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:rsidR="00C16C62" w:rsidRDefault="00C16C62" w:rsidP="00C16C62">
      <w:pPr>
        <w:jc w:val="both"/>
        <w:rPr>
          <w:rFonts w:ascii="Times New Roman" w:hAnsi="Times New Roman"/>
          <w:sz w:val="24"/>
          <w:szCs w:val="24"/>
        </w:rPr>
      </w:pPr>
      <w:r w:rsidRPr="00462319">
        <w:rPr>
          <w:rFonts w:ascii="Times New Roman" w:hAnsi="Times New Roman"/>
          <w:b/>
          <w:sz w:val="24"/>
          <w:szCs w:val="24"/>
        </w:rPr>
        <w:t xml:space="preserve"> 2.</w:t>
      </w:r>
      <w:r w:rsidRPr="003868DE"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со дня официального обнародования путем размещения на информационных стендах в МКУК «Суляевский ЦК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8D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8DE">
        <w:rPr>
          <w:rFonts w:ascii="Times New Roman" w:hAnsi="Times New Roman"/>
          <w:sz w:val="24"/>
          <w:szCs w:val="24"/>
        </w:rPr>
        <w:t>БО» в Суляевской, Покручинской и Ярской 1-й  сельских библиотеках.</w:t>
      </w:r>
    </w:p>
    <w:p w:rsidR="00C16C62" w:rsidRPr="003868DE" w:rsidRDefault="00C16C62" w:rsidP="00C16C62">
      <w:pPr>
        <w:jc w:val="both"/>
        <w:rPr>
          <w:rFonts w:ascii="Times New Roman" w:hAnsi="Times New Roman"/>
          <w:sz w:val="24"/>
          <w:szCs w:val="24"/>
        </w:rPr>
      </w:pPr>
      <w:r w:rsidRPr="00462319">
        <w:rPr>
          <w:rFonts w:ascii="Times New Roman" w:hAnsi="Times New Roman"/>
          <w:b/>
          <w:sz w:val="24"/>
          <w:szCs w:val="24"/>
        </w:rPr>
        <w:t xml:space="preserve"> 3.</w:t>
      </w:r>
      <w:r w:rsidRPr="003868DE">
        <w:rPr>
          <w:rFonts w:ascii="Times New Roman" w:hAnsi="Times New Roman"/>
          <w:sz w:val="24"/>
          <w:szCs w:val="24"/>
        </w:rPr>
        <w:t xml:space="preserve">  Контроль за исполнение постановления оставляю за собой.</w:t>
      </w:r>
    </w:p>
    <w:p w:rsidR="00C16C62" w:rsidRPr="003868DE" w:rsidRDefault="00C16C62" w:rsidP="00C16C62">
      <w:pPr>
        <w:spacing w:after="0" w:line="240" w:lineRule="auto"/>
        <w:ind w:left="360" w:firstLine="708"/>
        <w:rPr>
          <w:rFonts w:ascii="Times New Roman" w:hAnsi="Times New Roman"/>
          <w:sz w:val="24"/>
          <w:szCs w:val="24"/>
        </w:rPr>
      </w:pPr>
    </w:p>
    <w:p w:rsidR="00C16C62" w:rsidRPr="003868DE" w:rsidRDefault="00C16C62" w:rsidP="00C16C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68DE">
        <w:rPr>
          <w:rFonts w:ascii="Times New Roman" w:hAnsi="Times New Roman"/>
          <w:sz w:val="24"/>
          <w:szCs w:val="24"/>
        </w:rPr>
        <w:t xml:space="preserve">     </w:t>
      </w:r>
    </w:p>
    <w:p w:rsidR="00C16C62" w:rsidRPr="00462319" w:rsidRDefault="00C16C62" w:rsidP="00C16C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68DE">
        <w:rPr>
          <w:rFonts w:ascii="Times New Roman" w:hAnsi="Times New Roman"/>
          <w:sz w:val="24"/>
          <w:szCs w:val="24"/>
        </w:rPr>
        <w:t xml:space="preserve">  </w:t>
      </w:r>
      <w:r w:rsidRPr="00462319">
        <w:rPr>
          <w:rFonts w:ascii="Times New Roman" w:hAnsi="Times New Roman"/>
          <w:b/>
          <w:sz w:val="24"/>
          <w:szCs w:val="24"/>
        </w:rPr>
        <w:t>Глава Суляевского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                                                   С.И.Рекунов</w:t>
      </w:r>
    </w:p>
    <w:p w:rsidR="00A94F28" w:rsidRPr="00C16C62" w:rsidRDefault="00A94F28" w:rsidP="00A94F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4F28" w:rsidRPr="00C16C62" w:rsidRDefault="00A94F28" w:rsidP="00A94F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4F28" w:rsidRPr="00C16C62" w:rsidRDefault="00A94F28" w:rsidP="00A94F28">
      <w:pPr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</w:p>
    <w:p w:rsidR="00A94F28" w:rsidRPr="00C16C62" w:rsidRDefault="00A94F28" w:rsidP="00C16C6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F28" w:rsidRPr="00C16C62" w:rsidRDefault="00A94F28" w:rsidP="00A94F28">
      <w:pPr>
        <w:ind w:left="567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УТВЕРЖДЕН</w:t>
      </w:r>
    </w:p>
    <w:p w:rsidR="00A94F28" w:rsidRPr="00C16C62" w:rsidRDefault="00A94F28" w:rsidP="00C16C62">
      <w:pPr>
        <w:ind w:left="567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постановлением администрации  </w:t>
      </w:r>
      <w:r w:rsidR="00C16C62">
        <w:rPr>
          <w:rFonts w:ascii="Times New Roman" w:hAnsi="Times New Roman" w:cs="Times New Roman"/>
          <w:b/>
          <w:color w:val="000000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  <w:r w:rsid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C16C62">
        <w:rPr>
          <w:rFonts w:ascii="Times New Roman" w:hAnsi="Times New Roman" w:cs="Times New Roman"/>
          <w:b/>
          <w:color w:val="000000"/>
          <w:sz w:val="24"/>
          <w:szCs w:val="24"/>
        </w:rPr>
        <w:t>09</w:t>
      </w: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.02.2022 г. № </w:t>
      </w:r>
      <w:r w:rsidR="00C16C6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16C6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C16C6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94F28" w:rsidRPr="00C16C62" w:rsidRDefault="00A94F28" w:rsidP="00A94F28">
      <w:pPr>
        <w:ind w:left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A94F28" w:rsidRPr="00C16C62" w:rsidRDefault="00A94F28" w:rsidP="00C16C6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6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="00C16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C16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ОЦЕНКИ НАЛОГОВЫХ РАСХОДОВ </w:t>
      </w:r>
      <w:r w:rsidR="00C16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СУЛЯЕВСКОГО </w:t>
      </w:r>
      <w:r w:rsidRPr="00C16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1"/>
      <w:r w:rsidRPr="00C16C62">
        <w:rPr>
          <w:rFonts w:ascii="Times New Roman" w:hAnsi="Times New Roman" w:cs="Times New Roman"/>
          <w:b/>
          <w:sz w:val="24"/>
          <w:szCs w:val="24"/>
        </w:rPr>
        <w:t>1.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Настоящий порядок определяет критерии оценки налоговых расходов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  <w:bookmarkStart w:id="3" w:name="sub_1002"/>
      <w:bookmarkEnd w:id="2"/>
      <w:r w:rsidRPr="00C16C62">
        <w:rPr>
          <w:rFonts w:ascii="Times New Roman" w:hAnsi="Times New Roman" w:cs="Times New Roman"/>
          <w:b/>
          <w:sz w:val="24"/>
          <w:szCs w:val="24"/>
        </w:rPr>
        <w:t>2.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Понятия, используемые в настоящем документе, означают следующее:</w:t>
      </w:r>
    </w:p>
    <w:bookmarkEnd w:id="3"/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>куратор налогового расхода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орган местного самоуправления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ответственный в соответствии с полномочиями, установленными нормативными правовыми актами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за достижение соответствующих налоговому расходу целей муниципальной программы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(ее структурных элементов) и (или) целей социально-экономического развития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нормативные характеристики налоговых расходов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сведения о положениях решений Совета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решением Совета </w:t>
      </w:r>
      <w:r w:rsidR="00C16C62">
        <w:rPr>
          <w:rFonts w:ascii="Times New Roman" w:hAnsi="Times New Roman" w:cs="Times New Roman"/>
          <w:sz w:val="24"/>
          <w:szCs w:val="24"/>
        </w:rPr>
        <w:t xml:space="preserve">Суляевского 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>оценка налоговых расходов</w:t>
      </w:r>
      <w:r w:rsidRPr="00C16C62">
        <w:rPr>
          <w:rFonts w:ascii="Times New Roman" w:hAnsi="Times New Roman" w:cs="Times New Roman"/>
          <w:sz w:val="24"/>
          <w:szCs w:val="24"/>
        </w:rPr>
        <w:t xml:space="preserve">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комплекс мероприятий по оценке объемов налоговых расходов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обусловленных льготами, предоставленными плательщикам, а также по оценке эффективности налоговых расходов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оценка объемов налоговых расходов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определение объемов выпадающих доходов бюджетов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обусловленных льготами, предоставленными плательщикам;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налоговых расходов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перечень налоговых расходов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свод налоговых расходов в разрезе муниципальных программ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их </w:t>
      </w:r>
      <w:r w:rsidRPr="00C16C62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структурных элементов, а также направлений деятельности, не относящихся к муниципальным программам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кураторов налоговых расходов, указаний на обусловливающие соответствующие налоговые расходы положения (статьи, части, пункты, подпункты, абзацы) нормативных правовых актов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и сроки действия таких положений;</w:t>
      </w: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>плательщики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плательщики налогов;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фискальные характеристики налоговых расходов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бюджет;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b/>
          <w:sz w:val="24"/>
          <w:szCs w:val="24"/>
        </w:rPr>
        <w:t xml:space="preserve">целевые характеристики налогового расхода </w:t>
      </w:r>
      <w:r w:rsidR="00C16C62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C16C62">
        <w:rPr>
          <w:rFonts w:ascii="Times New Roman" w:hAnsi="Times New Roman" w:cs="Times New Roman"/>
          <w:sz w:val="24"/>
          <w:szCs w:val="24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3"/>
      <w:r w:rsidRPr="00C16C62">
        <w:rPr>
          <w:rFonts w:ascii="Times New Roman" w:hAnsi="Times New Roman" w:cs="Times New Roman"/>
          <w:b/>
          <w:sz w:val="24"/>
          <w:szCs w:val="24"/>
        </w:rPr>
        <w:t>3.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В целях оценки налоговых расходов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A94F28" w:rsidRPr="00C16C62" w:rsidRDefault="00A94F28" w:rsidP="00C16C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30"/>
      <w:bookmarkEnd w:id="4"/>
      <w:r w:rsidRPr="00C16C62">
        <w:rPr>
          <w:rFonts w:ascii="Times New Roman" w:hAnsi="Times New Roman" w:cs="Times New Roman"/>
          <w:sz w:val="24"/>
          <w:szCs w:val="24"/>
        </w:rPr>
        <w:t xml:space="preserve">а) определяет порядок формирования перечня налоговых расходов </w:t>
      </w:r>
      <w:r w:rsidR="00C16C62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31"/>
      <w:bookmarkEnd w:id="5"/>
      <w:r w:rsidRPr="00C16C62">
        <w:rPr>
          <w:rFonts w:ascii="Times New Roman" w:hAnsi="Times New Roman" w:cs="Times New Roman"/>
          <w:sz w:val="24"/>
          <w:szCs w:val="24"/>
        </w:rPr>
        <w:t xml:space="preserve">б) определяет правила формирования информации о нормативных, целевых и фискальных характеристиках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2"/>
      <w:bookmarkEnd w:id="6"/>
      <w:r w:rsidRPr="00C16C62">
        <w:rPr>
          <w:rFonts w:ascii="Times New Roman" w:hAnsi="Times New Roman" w:cs="Times New Roman"/>
          <w:sz w:val="24"/>
          <w:szCs w:val="24"/>
        </w:rPr>
        <w:t xml:space="preserve">в) определяет порядок обобщения результатов оценки эффективности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осуществляемой кураторами налоговых расходов.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4"/>
      <w:bookmarkEnd w:id="7"/>
      <w:r w:rsidRPr="00E141AE">
        <w:rPr>
          <w:rFonts w:ascii="Times New Roman" w:hAnsi="Times New Roman" w:cs="Times New Roman"/>
          <w:b/>
          <w:sz w:val="24"/>
          <w:szCs w:val="24"/>
        </w:rPr>
        <w:t>4.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Отнесение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5"/>
      <w:bookmarkEnd w:id="8"/>
      <w:r w:rsidRPr="00E141AE">
        <w:rPr>
          <w:rFonts w:ascii="Times New Roman" w:hAnsi="Times New Roman" w:cs="Times New Roman"/>
          <w:b/>
          <w:sz w:val="24"/>
          <w:szCs w:val="24"/>
        </w:rPr>
        <w:t>5.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В целях оценки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УФНС по Волгоградской области представляет в администрацию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информацию о фискальных характеристиках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за отчетный финансовый год, а также информацию о стимулирующих налоговых расходах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за 6 лет, предшествующих отчетному финансовому году.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6"/>
      <w:bookmarkEnd w:id="9"/>
      <w:r w:rsidRPr="00E141AE">
        <w:rPr>
          <w:rFonts w:ascii="Times New Roman" w:hAnsi="Times New Roman" w:cs="Times New Roman"/>
          <w:b/>
          <w:sz w:val="24"/>
          <w:szCs w:val="24"/>
        </w:rPr>
        <w:t>6.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Оценка эффективности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кураторами налоговых расходов и включает:</w:t>
      </w: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  <w:bookmarkStart w:id="11" w:name="sub_10061"/>
      <w:bookmarkEnd w:id="10"/>
      <w:r w:rsidRPr="00C16C62">
        <w:rPr>
          <w:rFonts w:ascii="Times New Roman" w:hAnsi="Times New Roman" w:cs="Times New Roman"/>
          <w:sz w:val="24"/>
          <w:szCs w:val="24"/>
        </w:rPr>
        <w:t xml:space="preserve">а) оценку целесообразности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  <w:bookmarkStart w:id="12" w:name="sub_10062"/>
      <w:bookmarkEnd w:id="11"/>
      <w:r w:rsidRPr="00C16C62">
        <w:rPr>
          <w:rFonts w:ascii="Times New Roman" w:hAnsi="Times New Roman" w:cs="Times New Roman"/>
          <w:sz w:val="24"/>
          <w:szCs w:val="24"/>
        </w:rPr>
        <w:t xml:space="preserve">б) оценку результативности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7"/>
      <w:bookmarkEnd w:id="12"/>
      <w:r w:rsidRPr="00E141AE">
        <w:rPr>
          <w:rFonts w:ascii="Times New Roman" w:hAnsi="Times New Roman" w:cs="Times New Roman"/>
          <w:b/>
          <w:sz w:val="24"/>
          <w:szCs w:val="24"/>
        </w:rPr>
        <w:t>7.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Критериями целесообразности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являются:</w:t>
      </w:r>
    </w:p>
    <w:bookmarkEnd w:id="13"/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целям муниципальных программ, структурным элементам муниципальных программ и (или) целям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относящимся к муниципальным программам;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t>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8"/>
      <w:r w:rsidRPr="00E141AE">
        <w:rPr>
          <w:rFonts w:ascii="Times New Roman" w:hAnsi="Times New Roman" w:cs="Times New Roman"/>
          <w:b/>
          <w:sz w:val="24"/>
          <w:szCs w:val="24"/>
        </w:rPr>
        <w:t>8.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В случае несоответствия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хотя бы одному из критериев, указанных в </w:t>
      </w:r>
      <w:r w:rsidRPr="00E141AE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пункте 7</w:t>
      </w:r>
      <w:r w:rsidRPr="00C16C62">
        <w:rPr>
          <w:rFonts w:ascii="Times New Roman" w:hAnsi="Times New Roman" w:cs="Times New Roman"/>
          <w:sz w:val="24"/>
          <w:szCs w:val="24"/>
        </w:rPr>
        <w:t xml:space="preserve"> настоящего документа, куратору налогового расхода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надлежит представить в администрацию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предложения о сохранении (уточнении, отмене) льгот для плательщиков.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9"/>
      <w:bookmarkEnd w:id="14"/>
      <w:r w:rsidRPr="00E141AE">
        <w:rPr>
          <w:rFonts w:ascii="Times New Roman" w:hAnsi="Times New Roman" w:cs="Times New Roman"/>
          <w:b/>
          <w:sz w:val="24"/>
          <w:szCs w:val="24"/>
        </w:rPr>
        <w:t>9.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В качестве критерия результативности налогового расхода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определяется как минимум один показатель (индикатор) достижения целей муниципальной программы и (или) целей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программам, либо иной показатель (индикатор), на значение которого оказывают влияние налоговые расходы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bookmarkEnd w:id="15"/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0"/>
      <w:r w:rsidRPr="00E141AE">
        <w:rPr>
          <w:rFonts w:ascii="Times New Roman" w:hAnsi="Times New Roman" w:cs="Times New Roman"/>
          <w:b/>
          <w:sz w:val="24"/>
          <w:szCs w:val="24"/>
        </w:rPr>
        <w:t>10.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Оценка результативности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включает оценку бюджетной эффективности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1"/>
      <w:bookmarkEnd w:id="16"/>
      <w:r w:rsidRPr="00E141AE">
        <w:rPr>
          <w:rFonts w:ascii="Times New Roman" w:hAnsi="Times New Roman" w:cs="Times New Roman"/>
          <w:b/>
          <w:sz w:val="24"/>
          <w:szCs w:val="24"/>
        </w:rPr>
        <w:t>11.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В целях оценки бюджетной эффективности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2"/>
      <w:bookmarkEnd w:id="17"/>
      <w:r w:rsidRPr="00E141AE">
        <w:rPr>
          <w:rFonts w:ascii="Times New Roman" w:hAnsi="Times New Roman" w:cs="Times New Roman"/>
          <w:b/>
          <w:sz w:val="24"/>
          <w:szCs w:val="24"/>
        </w:rPr>
        <w:t>12.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Сравнительный анализ включает в себя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программам, на 1 рубль налоговых расходов муниципального </w:t>
      </w:r>
      <w:r w:rsidRPr="00C16C62">
        <w:rPr>
          <w:rFonts w:ascii="Times New Roman" w:hAnsi="Times New Roman" w:cs="Times New Roman"/>
          <w:sz w:val="24"/>
          <w:szCs w:val="24"/>
        </w:rPr>
        <w:lastRenderedPageBreak/>
        <w:t>образования и на 1 рубль расходов бюджета местного бюджета для достижения того же показателя (индикатора) в случае применения альтернативных механизмов).</w:t>
      </w:r>
    </w:p>
    <w:bookmarkEnd w:id="18"/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программам, могут учитываться в том числе: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21"/>
      <w:r w:rsidRPr="00C16C62">
        <w:rPr>
          <w:rFonts w:ascii="Times New Roman" w:hAnsi="Times New Roman" w:cs="Times New Roman"/>
          <w:sz w:val="24"/>
          <w:szCs w:val="24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122"/>
      <w:bookmarkEnd w:id="19"/>
      <w:r w:rsidRPr="00C16C62">
        <w:rPr>
          <w:rFonts w:ascii="Times New Roman" w:hAnsi="Times New Roman" w:cs="Times New Roman"/>
          <w:sz w:val="24"/>
          <w:szCs w:val="24"/>
        </w:rPr>
        <w:t>б) предоставление муниципальных гарантий по обязательствам плательщиков, имеющих право на льготы;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123"/>
      <w:bookmarkEnd w:id="20"/>
      <w:r w:rsidRPr="00C16C62">
        <w:rPr>
          <w:rFonts w:ascii="Times New Roman" w:hAnsi="Times New Roman" w:cs="Times New Roman"/>
          <w:sz w:val="24"/>
          <w:szCs w:val="24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13"/>
      <w:bookmarkEnd w:id="21"/>
      <w:r w:rsidRPr="00E14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По итогам оценки эффективности налогового расхода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 сельского поселения куратор налогового расхода формулирует выводы о достижении целевых характеристик налогового расхода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вкладе налогового расхода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в достижение целей муниципальной программы и (или) целей социально-экономической политики 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программам, а также о наличии или об отсутствии более результативных (менее затратных) для местного бюджета альтернативных механизмов достижения целей муниципальной программы и (или) целей социально-экономической политики 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программам.</w:t>
      </w:r>
    </w:p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4"/>
      <w:bookmarkEnd w:id="22"/>
      <w:r w:rsidRPr="00E141AE">
        <w:rPr>
          <w:rFonts w:ascii="Times New Roman" w:hAnsi="Times New Roman" w:cs="Times New Roman"/>
          <w:b/>
          <w:sz w:val="24"/>
          <w:szCs w:val="24"/>
        </w:rPr>
        <w:t>14.</w:t>
      </w:r>
      <w:r w:rsidRPr="00C16C62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формирует оценку эффективности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на основе данных, представленных кураторами налоговых расходов.</w:t>
      </w:r>
    </w:p>
    <w:bookmarkEnd w:id="23"/>
    <w:p w:rsidR="00A94F28" w:rsidRPr="00C16C62" w:rsidRDefault="00A94F28" w:rsidP="00E141AE">
      <w:pPr>
        <w:jc w:val="both"/>
        <w:rPr>
          <w:rFonts w:ascii="Times New Roman" w:hAnsi="Times New Roman" w:cs="Times New Roman"/>
          <w:sz w:val="24"/>
          <w:szCs w:val="24"/>
        </w:rPr>
      </w:pPr>
      <w:r w:rsidRPr="00C16C62">
        <w:rPr>
          <w:rFonts w:ascii="Times New Roman" w:hAnsi="Times New Roman" w:cs="Times New Roman"/>
          <w:sz w:val="24"/>
          <w:szCs w:val="24"/>
        </w:rPr>
        <w:t xml:space="preserve">Результаты рассмотрения оценки налоговых расходов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 учитываются при формировании основных направлений бюджетной и налоговой политики </w:t>
      </w:r>
      <w:r w:rsidR="00E141AE">
        <w:rPr>
          <w:rFonts w:ascii="Times New Roman" w:hAnsi="Times New Roman" w:cs="Times New Roman"/>
          <w:sz w:val="24"/>
          <w:szCs w:val="24"/>
        </w:rPr>
        <w:t>Суляевского</w:t>
      </w:r>
      <w:r w:rsidRPr="00C16C62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при проведении оценки эффективности реализации муниципальных программ.</w:t>
      </w:r>
    </w:p>
    <w:p w:rsidR="00A94F28" w:rsidRPr="00C16C62" w:rsidRDefault="00A94F28" w:rsidP="00A94F28">
      <w:pPr>
        <w:rPr>
          <w:rFonts w:ascii="Times New Roman" w:hAnsi="Times New Roman" w:cs="Times New Roman"/>
          <w:sz w:val="24"/>
          <w:szCs w:val="24"/>
        </w:rPr>
      </w:pPr>
    </w:p>
    <w:p w:rsidR="00983CB6" w:rsidRPr="00C16C62" w:rsidRDefault="00983CB6" w:rsidP="00510E0F">
      <w:pPr>
        <w:rPr>
          <w:rFonts w:ascii="Times New Roman" w:hAnsi="Times New Roman" w:cs="Times New Roman"/>
          <w:sz w:val="24"/>
          <w:szCs w:val="24"/>
        </w:rPr>
      </w:pPr>
    </w:p>
    <w:sectPr w:rsidR="00983CB6" w:rsidRPr="00C16C62" w:rsidSect="0004115B">
      <w:footerReference w:type="default" r:id="rId6"/>
      <w:pgSz w:w="11900" w:h="16800"/>
      <w:pgMar w:top="851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15D" w:rsidRDefault="0020415D" w:rsidP="0075239F">
      <w:pPr>
        <w:spacing w:after="0" w:line="240" w:lineRule="auto"/>
      </w:pPr>
      <w:r>
        <w:separator/>
      </w:r>
    </w:p>
  </w:endnote>
  <w:endnote w:type="continuationSeparator" w:id="1">
    <w:p w:rsidR="0020415D" w:rsidRDefault="0020415D" w:rsidP="0075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415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15D" w:rsidRDefault="0020415D" w:rsidP="0075239F">
      <w:pPr>
        <w:spacing w:after="0" w:line="240" w:lineRule="auto"/>
      </w:pPr>
      <w:r>
        <w:separator/>
      </w:r>
    </w:p>
  </w:footnote>
  <w:footnote w:type="continuationSeparator" w:id="1">
    <w:p w:rsidR="0020415D" w:rsidRDefault="0020415D" w:rsidP="00752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4A48"/>
    <w:rsid w:val="00001FBE"/>
    <w:rsid w:val="00094A48"/>
    <w:rsid w:val="001B2C5C"/>
    <w:rsid w:val="0020415D"/>
    <w:rsid w:val="00510E0F"/>
    <w:rsid w:val="00562108"/>
    <w:rsid w:val="005773DA"/>
    <w:rsid w:val="0075239F"/>
    <w:rsid w:val="00816E3D"/>
    <w:rsid w:val="009216EE"/>
    <w:rsid w:val="00983CB6"/>
    <w:rsid w:val="00991FD7"/>
    <w:rsid w:val="00A94F28"/>
    <w:rsid w:val="00AF3135"/>
    <w:rsid w:val="00B34D95"/>
    <w:rsid w:val="00C16C62"/>
    <w:rsid w:val="00D416F9"/>
    <w:rsid w:val="00D71248"/>
    <w:rsid w:val="00DD0663"/>
    <w:rsid w:val="00E141AE"/>
    <w:rsid w:val="00E249B2"/>
    <w:rsid w:val="00E3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48"/>
  </w:style>
  <w:style w:type="paragraph" w:styleId="1">
    <w:name w:val="heading 1"/>
    <w:basedOn w:val="a"/>
    <w:next w:val="a"/>
    <w:link w:val="10"/>
    <w:uiPriority w:val="99"/>
    <w:qFormat/>
    <w:rsid w:val="00094A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A48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094A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94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uiPriority w:val="99"/>
    <w:rsid w:val="00094A48"/>
    <w:rPr>
      <w:b w:val="0"/>
      <w:bCs w:val="0"/>
      <w:color w:val="106BBE"/>
    </w:rPr>
  </w:style>
  <w:style w:type="paragraph" w:customStyle="1" w:styleId="ConsNonformat">
    <w:name w:val="ConsNonformat"/>
    <w:rsid w:val="009216EE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9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2022-02-02T10:59:00Z</dcterms:created>
  <dcterms:modified xsi:type="dcterms:W3CDTF">2022-02-10T11:31:00Z</dcterms:modified>
</cp:coreProperties>
</file>