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8687" w14:textId="77777777" w:rsidR="006B7F42" w:rsidRPr="0073675C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sz w:val="28"/>
          <w:szCs w:val="28"/>
        </w:rPr>
        <w:t>Мет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одологические пояснения </w:t>
      </w:r>
    </w:p>
    <w:p w14:paraId="233FBE63" w14:textId="77777777" w:rsidR="006B7F42" w:rsidRPr="0073675C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заполнению отраслевой формы отчетности </w:t>
      </w:r>
    </w:p>
    <w:p w14:paraId="5F77B188" w14:textId="77777777" w:rsidR="006B7F42" w:rsidRPr="0073675C" w:rsidRDefault="006B7F42" w:rsidP="0053477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1-</w:t>
      </w:r>
      <w:r w:rsidR="0053477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477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результатах деятельности сельскохозяйственных потребительских 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кредитных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кооперативов</w:t>
      </w:r>
      <w:r w:rsidR="0053477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0DE298E2" w14:textId="77777777" w:rsidR="006B7F42" w:rsidRPr="0073675C" w:rsidRDefault="006B7F42" w:rsidP="0053477B">
      <w:pPr>
        <w:spacing w:after="0" w:line="3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0FCDD9" w14:textId="77777777" w:rsidR="006B7F42" w:rsidRPr="0073675C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составляется и представляется по товаропроизводителям, осуществляющим деятельность по следующим видам: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сельскохозяйственные потребительские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кредитные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кооперативы.</w:t>
      </w:r>
    </w:p>
    <w:p w14:paraId="7E58DD10" w14:textId="77777777" w:rsidR="006B7F42" w:rsidRPr="0073675C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Органы исполнительной власти субъектов Российской Федерации направляют консолидированную (сводную) отчетность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порядке и в сроки, определяемые Минсельхозом России.</w:t>
      </w:r>
    </w:p>
    <w:p w14:paraId="3225A9D9" w14:textId="77777777" w:rsidR="006B7F42" w:rsidRPr="0073675C" w:rsidRDefault="006B7F42" w:rsidP="0053477B">
      <w:pPr>
        <w:pStyle w:val="a3"/>
        <w:spacing w:before="0" w:beforeAutospacing="0" w:after="0" w:afterAutospacing="0" w:line="360" w:lineRule="exact"/>
        <w:ind w:firstLine="708"/>
        <w:jc w:val="both"/>
        <w:rPr>
          <w:color w:val="000000" w:themeColor="text1"/>
          <w:sz w:val="28"/>
          <w:szCs w:val="28"/>
        </w:rPr>
      </w:pP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>Форму № 1-</w:t>
      </w:r>
      <w:r w:rsidR="0053477B" w:rsidRPr="0073675C">
        <w:rPr>
          <w:rFonts w:eastAsiaTheme="majorEastAsia"/>
          <w:color w:val="000000" w:themeColor="text1"/>
          <w:kern w:val="24"/>
          <w:sz w:val="28"/>
          <w:szCs w:val="28"/>
        </w:rPr>
        <w:t>СПР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>К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 xml:space="preserve"> заполняют сельскохозяйственные потребительские 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 xml:space="preserve">кредитные 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>кооперативы (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>далее - СП</w:t>
      </w:r>
      <w:r w:rsidR="008F26B9" w:rsidRPr="0073675C">
        <w:rPr>
          <w:rFonts w:eastAsiaTheme="majorEastAsia"/>
          <w:color w:val="000000" w:themeColor="text1"/>
          <w:kern w:val="24"/>
          <w:sz w:val="28"/>
          <w:szCs w:val="28"/>
        </w:rPr>
        <w:t>К</w:t>
      </w:r>
      <w:r w:rsidR="00304803" w:rsidRPr="0073675C">
        <w:rPr>
          <w:rFonts w:eastAsiaTheme="majorEastAsia"/>
          <w:color w:val="000000" w:themeColor="text1"/>
          <w:kern w:val="24"/>
          <w:sz w:val="28"/>
          <w:szCs w:val="28"/>
        </w:rPr>
        <w:t>К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 xml:space="preserve">) на основании данных о деятельности кооператива за отчетный год </w:t>
      </w:r>
      <w:r w:rsidR="00A22CB3" w:rsidRPr="0073675C">
        <w:rPr>
          <w:rFonts w:eastAsiaTheme="majorEastAsia"/>
          <w:color w:val="000000" w:themeColor="text1"/>
          <w:kern w:val="24"/>
          <w:sz w:val="28"/>
          <w:szCs w:val="28"/>
        </w:rPr>
        <w:t>и по состоянию на отчетную дату</w:t>
      </w:r>
      <w:r w:rsidRPr="0073675C">
        <w:rPr>
          <w:rFonts w:eastAsiaTheme="majorEastAsia"/>
          <w:color w:val="000000" w:themeColor="text1"/>
          <w:kern w:val="24"/>
          <w:sz w:val="28"/>
          <w:szCs w:val="28"/>
        </w:rPr>
        <w:t>.</w:t>
      </w:r>
    </w:p>
    <w:p w14:paraId="69F1A732" w14:textId="77777777" w:rsidR="00E3220C" w:rsidRPr="0024148B" w:rsidRDefault="00E3220C" w:rsidP="00E32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По коду 211001 кооператив отражает данные, о том, что кооператив является членом </w:t>
      </w:r>
      <w:r w:rsidRPr="0024148B">
        <w:rPr>
          <w:rFonts w:ascii="Times New Roman" w:hAnsi="Times New Roman" w:cs="Times New Roman"/>
          <w:sz w:val="28"/>
          <w:szCs w:val="28"/>
        </w:rPr>
        <w:t>ревизионного союза сельскохозяйственных кооперативов, по коду 211002 – наличие ревизионного заключения.</w:t>
      </w:r>
    </w:p>
    <w:p w14:paraId="76A8204C" w14:textId="77777777" w:rsidR="00E3220C" w:rsidRPr="0024148B" w:rsidRDefault="00E3220C" w:rsidP="00E32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hAnsi="Times New Roman" w:cs="Times New Roman"/>
          <w:sz w:val="28"/>
          <w:szCs w:val="28"/>
        </w:rPr>
        <w:t xml:space="preserve">Согласно п.3 ст.31 Федерального </w:t>
      </w:r>
      <w:hyperlink r:id="rId6" w:history="1">
        <w:r w:rsidRPr="0024148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4148B">
        <w:rPr>
          <w:rFonts w:ascii="Times New Roman" w:hAnsi="Times New Roman" w:cs="Times New Roman"/>
          <w:sz w:val="28"/>
          <w:szCs w:val="28"/>
        </w:rPr>
        <w:t xml:space="preserve">а от 08.12.1995 г. № 193-ФЗ «О сельскохозяйственной кооперации» (далее – Федеральный закон 193-ФЗ) кооператив в обязательном порядке входят в один из ревизионных союзов по их выбору. В ином случае кооператив подлежат ликвидации по решению суда,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Федерации, а также по требованию Банка России. </w:t>
      </w:r>
    </w:p>
    <w:p w14:paraId="2AEBFC78" w14:textId="77777777" w:rsidR="00E3220C" w:rsidRPr="0073675C" w:rsidRDefault="00E3220C" w:rsidP="00E322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48B">
        <w:rPr>
          <w:rFonts w:ascii="Times New Roman" w:hAnsi="Times New Roman" w:cs="Times New Roman"/>
          <w:sz w:val="28"/>
          <w:szCs w:val="28"/>
        </w:rPr>
        <w:t>Ревизионный союз по результатам ревизии составляет в письменной форме ревизионное заключение, которое является официальным документом о достоверности бухгалтерской (финансовой) отчетности кооператива, соответствии порядка ведения кооперативом бухгалтерского учета законодательству Российской Федерации, соблюдении органами управления кооперативом положений своих уставов и законодательства Российской Федерации, а также данные о выявленных нарушениях, которые могут повлечь за собой ухудшение результатов финансово-хозяйственной деятельности кооператива или их несостоятельность (банкротство) (п.5 ст.31 Федерального закона 193-ФЗ).</w:t>
      </w:r>
    </w:p>
    <w:p w14:paraId="3A4160FC" w14:textId="77777777" w:rsidR="006B7F42" w:rsidRPr="0073675C" w:rsidRDefault="006B7F42" w:rsidP="0053477B">
      <w:pPr>
        <w:spacing w:after="0" w:line="3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93271C5" w14:textId="77777777" w:rsidR="006B7F42" w:rsidRPr="0073675C" w:rsidRDefault="006B7F42" w:rsidP="0053477B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состоит из 1 раздела</w:t>
      </w:r>
      <w:r w:rsidR="0040600C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304803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четыре</w:t>
      </w:r>
      <w:r w:rsidR="0040600C"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 подразделов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F4384AF" w14:textId="77777777" w:rsidR="000B524F" w:rsidRPr="0073675C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Подр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аздел 1 – </w:t>
      </w:r>
      <w:r w:rsidR="008F26B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нформация о члена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х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кооператива</w:t>
      </w:r>
    </w:p>
    <w:p w14:paraId="7C45F9A0" w14:textId="77777777" w:rsidR="006A069E" w:rsidRPr="0073675C" w:rsidRDefault="006A069E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 коду строки 2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1100 по графам 3 и 4 отражается состав 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членов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кооператива (включая ассоциированных членов) на начало и конец отчетного года. По графе 5 указывается количество 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займов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616D8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предоставлены членам кооператива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отчетном году, по графе 6 – сумма предоставленных займов членам кооператива.</w:t>
      </w:r>
    </w:p>
    <w:p w14:paraId="238656FA" w14:textId="77777777" w:rsidR="000B524F" w:rsidRPr="0073675C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Подр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аздел 2 – </w:t>
      </w:r>
      <w:r w:rsidR="008F26B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нформация о размерах паевого фонда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 доход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ах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 расход</w:t>
      </w:r>
      <w:r w:rsidR="008A5F2A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ах</w:t>
      </w:r>
      <w:r w:rsidR="000B524F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кооператива</w:t>
      </w:r>
    </w:p>
    <w:p w14:paraId="73C3855E" w14:textId="77777777" w:rsidR="006A069E" w:rsidRPr="0073675C" w:rsidRDefault="006A069E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10 «Паевой фонд кооператива на конец периода» кооперативы отражают сумму паевых взносов членов кооператива и ассоциированных членов кооператива в денежном выражении. Размер паевого фонда должен соответствовать размеру, установленному на собрании членов кооператива и соответствовать сумме паевых взносов, указанных в ф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орме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 «Бухгалтерский баланс» по строке 1310.</w:t>
      </w:r>
    </w:p>
    <w:p w14:paraId="2EE04B1B" w14:textId="77777777" w:rsidR="004B27A7" w:rsidRPr="0073675C" w:rsidRDefault="006A069E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кодам строк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11 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proofErr w:type="spellStart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расшифровываются изменения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аевого фонда кооператива за отчетный период.</w:t>
      </w:r>
    </w:p>
    <w:p w14:paraId="6DAE0A45" w14:textId="77777777" w:rsidR="006639DE" w:rsidRPr="0073675C" w:rsidRDefault="006639DE" w:rsidP="00663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20488111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Федеральному </w:t>
      </w:r>
      <w:hyperlink r:id="rId7" w:history="1">
        <w:r w:rsidRPr="007367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№ 193-ФЗ </w:t>
      </w:r>
      <w:bookmarkStart w:id="1" w:name="_Hlk20493982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кооператив в обязательном порядке формирует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езервный фонд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04C2D" w:rsidRPr="0073675C">
        <w:rPr>
          <w:rFonts w:ascii="Times New Roman" w:hAnsi="Times New Roman" w:cs="Times New Roman"/>
          <w:sz w:val="28"/>
          <w:szCs w:val="28"/>
        </w:rPr>
        <w:t>который является неделимым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вправе создавать другие фонды.</w:t>
      </w:r>
    </w:p>
    <w:bookmarkEnd w:id="0"/>
    <w:bookmarkEnd w:id="1"/>
    <w:p w14:paraId="48CCF380" w14:textId="77777777" w:rsidR="000B524F" w:rsidRPr="0073675C" w:rsidRDefault="000B524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«Резервный фонд кооператива на конец отчетного периода» отражается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езервного фонда, формируемого в соответствии с Федеральным </w:t>
      </w:r>
      <w:hyperlink r:id="rId8" w:history="1">
        <w:r w:rsidRPr="007367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477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193-ФЗ и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ставом кооператива</w:t>
      </w:r>
    </w:p>
    <w:p w14:paraId="79A647D8" w14:textId="77777777" w:rsidR="006639DE" w:rsidRPr="0073675C" w:rsidRDefault="006639DE" w:rsidP="00663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Резервный фонд в потребительском кооперативе формируется за счет отчислений от доходов, за счет внесения членами дополнительных (целевых) взносов и иных, предусмотренных Уставом, источников. </w:t>
      </w:r>
      <w:bookmarkStart w:id="2" w:name="_Hlk20493881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езервного фонда должен составлять не менее 10% от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аевого фонда кооператива.</w:t>
      </w:r>
    </w:p>
    <w:bookmarkEnd w:id="2"/>
    <w:p w14:paraId="7B1F1B35" w14:textId="77777777" w:rsidR="000B524F" w:rsidRPr="0073675C" w:rsidRDefault="000B524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отражаются иные фонды, предусмотренные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ставом кооператива</w:t>
      </w:r>
      <w:r w:rsidR="00975400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63B643" w14:textId="77777777" w:rsidR="00D829AE" w:rsidRPr="0073675C" w:rsidRDefault="00D829AE" w:rsidP="00D82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20493948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Виды, размеры иных фондов, порядок их формирования и использования устанавливаются общим собранием членов кооператива в соответствии с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аконом 193-ФЗ.</w:t>
      </w:r>
    </w:p>
    <w:p w14:paraId="53542BD7" w14:textId="77777777" w:rsidR="00D829AE" w:rsidRPr="0073675C" w:rsidRDefault="00D829AE" w:rsidP="00D829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согласно п.5 ст.3</w:t>
      </w:r>
      <w:r w:rsidR="0067263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193-ФЗ Уставом кооператива может быть предусмотрено, что определенную часть принадлежащего кооперативу имущества составляет его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еделимый фонд.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еделимого фонда устанавливается в стоимостном выражении, исходя из доли собственных средств кооператива (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аевого фонда, нераспределенной прибыли, бюджетных средств и других доходов, за исключением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езервного фонда).</w:t>
      </w:r>
    </w:p>
    <w:bookmarkEnd w:id="3"/>
    <w:p w14:paraId="5F22A88D" w14:textId="77777777" w:rsidR="001A3C61" w:rsidRPr="0073675C" w:rsidRDefault="00BF642C" w:rsidP="001A3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3C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5FA0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потребительском </w:t>
      </w:r>
      <w:r w:rsidR="001A3C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кредитном кооперативе должен быть создан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A3C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онд финансовой взаимопомощи, являющийся источником займов, предоставляемых членам кредитного кооператива.</w:t>
      </w:r>
    </w:p>
    <w:p w14:paraId="4FA91412" w14:textId="77777777" w:rsidR="002D1E70" w:rsidRPr="0073675C" w:rsidRDefault="002D1E70" w:rsidP="002D1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п.2 ст.40.1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193-ФЗ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онд финансовой взаимопомощи формируется за счет части собственных средств кредитного кооператива и средств, привлекаемых в кредитный кооператив в форме займов, полученных от членов кредитного кооператива, ассоциированных членов кредитного кооператива, кредитов кредитных и иных организаций, а также за счет средств, привлеченных в кредитный кооператив в соответствии с бюджетным законодательством Российской Федерации. При этом займы осуществляются только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денежной форме. Размер </w:t>
      </w:r>
      <w:r w:rsidR="00504C2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онда финансовой взаимопомощи, порядок его формирования и использования определяются уставом кредитного кооператива, решениями общего собрания членов кредитного кооператива.</w:t>
      </w:r>
    </w:p>
    <w:p w14:paraId="2473D121" w14:textId="77777777" w:rsidR="006639DE" w:rsidRPr="0073675C" w:rsidRDefault="006639DE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AA99F" w14:textId="77777777" w:rsidR="00396DBA" w:rsidRPr="0073675C" w:rsidRDefault="00396DBA" w:rsidP="00396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20755297"/>
      <w:r w:rsidRPr="0073675C"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отражения средств целевого финансирования в </w:t>
      </w:r>
      <w:r w:rsidR="00504C2D" w:rsidRPr="0073675C">
        <w:rPr>
          <w:rFonts w:ascii="Times New Roman" w:hAnsi="Times New Roman" w:cs="Times New Roman"/>
          <w:b/>
          <w:sz w:val="28"/>
          <w:szCs w:val="28"/>
        </w:rPr>
        <w:t>Б</w:t>
      </w:r>
      <w:r w:rsidRPr="0073675C">
        <w:rPr>
          <w:rFonts w:ascii="Times New Roman" w:hAnsi="Times New Roman" w:cs="Times New Roman"/>
          <w:b/>
          <w:sz w:val="28"/>
          <w:szCs w:val="28"/>
        </w:rPr>
        <w:t>ухгалтерском балансе:</w:t>
      </w:r>
    </w:p>
    <w:p w14:paraId="21B9E8F1" w14:textId="77777777" w:rsidR="00396DBA" w:rsidRPr="0073675C" w:rsidRDefault="00396DBA" w:rsidP="00396DB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67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4148B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 </w:t>
      </w:r>
      <w:r w:rsidRPr="0024148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="00504C2D" w:rsidRPr="00241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1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193-ФЗ </w:t>
      </w:r>
      <w:r w:rsidRPr="0024148B">
        <w:rPr>
          <w:rFonts w:ascii="Times New Roman" w:hAnsi="Times New Roman" w:cs="Times New Roman"/>
          <w:sz w:val="28"/>
          <w:szCs w:val="28"/>
        </w:rPr>
        <w:t>потребительские кооперативы являются некоммерческими организациями.</w:t>
      </w:r>
    </w:p>
    <w:p w14:paraId="742A3785" w14:textId="77777777" w:rsidR="00396DBA" w:rsidRPr="0073675C" w:rsidRDefault="00396DBA" w:rsidP="00396DB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75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 приказом </w:t>
      </w:r>
      <w:r w:rsidRPr="0073675C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от 2 июля 2010 г. № 66н 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некоммерческая организации раздел </w:t>
      </w:r>
      <w:r w:rsidRPr="0073675C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3675C">
        <w:rPr>
          <w:rFonts w:ascii="Times New Roman" w:hAnsi="Times New Roman" w:cs="Times New Roman"/>
          <w:bCs/>
          <w:sz w:val="28"/>
          <w:szCs w:val="28"/>
        </w:rPr>
        <w:t xml:space="preserve"> «Капитал и резервы» </w:t>
      </w:r>
      <w:r w:rsidRPr="0073675C">
        <w:rPr>
          <w:rFonts w:ascii="Times New Roman" w:hAnsi="Times New Roman" w:cs="Times New Roman"/>
          <w:sz w:val="28"/>
          <w:szCs w:val="28"/>
        </w:rPr>
        <w:t xml:space="preserve">именует «Целевое финансирование», при этом: </w:t>
      </w:r>
    </w:p>
    <w:bookmarkEnd w:id="4"/>
    <w:p w14:paraId="12A0DE95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Вместо строки «Уставный капитал (складочный капитал, уставный фонд, вклады товарищей)»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1310 включает строку «Паевой фонд»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087B7F2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Вместо строки «Собственные акции, выкупленные у акционеров»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1320 включает строку «Целевой капитал»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1A89322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 Вместо строки «Добавочный капитал (без переоценки)»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1350 включает строку «Целевые средства»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B215F7C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4. Вместо строки «Резервный капитал»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1360 включает строку «Фонд недвижимого и особо ценного движимого имущества»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A58F39C" w14:textId="77777777" w:rsidR="006639DE" w:rsidRPr="0073675C" w:rsidRDefault="006639DE" w:rsidP="006639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Вместо строки «Нераспределенная прибыль (непокрытый убыток)» </w:t>
      </w: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коду 1370 включает строку «Резервный и иные целевые фонды»</w:t>
      </w:r>
      <w:r w:rsidRPr="007367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186802B" w14:textId="77777777" w:rsidR="009547E7" w:rsidRPr="0073675C" w:rsidRDefault="009547E7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7D3733" w14:textId="77777777" w:rsidR="00D71BB9" w:rsidRPr="00D71BB9" w:rsidRDefault="00D71BB9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63792">
        <w:rPr>
          <w:rFonts w:ascii="Times New Roman" w:hAnsi="Times New Roman" w:cs="Times New Roman"/>
          <w:color w:val="000000"/>
          <w:sz w:val="28"/>
          <w:szCs w:val="28"/>
        </w:rPr>
        <w:t>Коды строк 1360 и 1370 формы 1 не могут быть отрицательными, так как содержат сведения о сформированных кооперативом фондов. Прибыль (убыток) от предпринимательской деятельности отражается по коду 1350.</w:t>
      </w:r>
    </w:p>
    <w:p w14:paraId="3BD08F00" w14:textId="77777777" w:rsidR="00D71BB9" w:rsidRDefault="00D71BB9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F9298" w14:textId="71BB5C4B" w:rsidR="006639DE" w:rsidRPr="0073675C" w:rsidRDefault="006639DE" w:rsidP="006639DE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строки 212210 указывается сумма взносов в денежном выражении, внесенных в кооператив последующего уровня, созданный в соответствии с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аконом 193-ФЗ. Показатель приводится за отчетный период нарастающим итогом.</w:t>
      </w:r>
    </w:p>
    <w:p w14:paraId="44D781B3" w14:textId="77777777" w:rsidR="006639DE" w:rsidRPr="0073675C" w:rsidRDefault="006639DE" w:rsidP="006639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3203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Федеральному з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акону 193-ФЗ два и более потребительских </w:t>
      </w:r>
      <w:r w:rsidR="00FE0AF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кредитных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кооператива могут образовывать потребительские</w:t>
      </w:r>
      <w:r w:rsidR="00FE0AF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кредитные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кооперативы последующих уровней. Членами кооператива последующего уровня могут быть только кооперативы предыдущего уровня.</w:t>
      </w:r>
    </w:p>
    <w:p w14:paraId="1A978303" w14:textId="77777777" w:rsidR="00215B1B" w:rsidRPr="0024148B" w:rsidRDefault="00975400" w:rsidP="008D70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2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45343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Проценты, полученные по договорам займа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отражается 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</w:t>
      </w:r>
      <w:r w:rsidR="006D0312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начисленных</w:t>
      </w:r>
      <w:r w:rsidR="007B2D85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уплаченных</w:t>
      </w:r>
      <w:r w:rsidR="006D0312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отчетный период 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процентов по предоставленным 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кооперативом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займам (по заключенным кооперативам договорам займа) (код 212310), из которых выделяются проценты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получению по займам, предоставленным членам 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и ассоциированным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D4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кооператива (код 212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311)</w:t>
      </w:r>
      <w:r w:rsidR="00860D3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0312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проценты к получению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займам, предоставленным им кооперативам последующего </w:t>
      </w:r>
      <w:r w:rsidR="00260B1C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уровня (код 212312</w:t>
      </w:r>
      <w:r w:rsidR="00707530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43AC4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212320 отражаются проценты по средствам кооператива (депозитные, НЕ ЗАЙМЫ), </w:t>
      </w:r>
      <w:r w:rsidR="00215B1B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размещенным в кооперативы последующего уровня. </w:t>
      </w:r>
    </w:p>
    <w:p w14:paraId="4189D71E" w14:textId="77777777" w:rsidR="00215B1B" w:rsidRPr="0024148B" w:rsidRDefault="00215B1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По коду 212330 отражаются</w:t>
      </w:r>
      <w:r w:rsidR="00DC0F9A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D85" w:rsidRPr="00FC2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фактически полученные </w:t>
      </w:r>
      <w:r w:rsidRPr="00FC2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доходы</w:t>
      </w: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</w:t>
      </w:r>
      <w:r w:rsidR="00DC0F9A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а, в том числе</w:t>
      </w: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оказания прочих услуг (например, консультации, подготовка пакета документов для займа, иные, не являющихся деятельностью по предоставлению заемных средств).</w:t>
      </w:r>
    </w:p>
    <w:p w14:paraId="600E693F" w14:textId="77777777" w:rsidR="00DC0F9A" w:rsidRPr="0073675C" w:rsidRDefault="00DC0F9A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по коду строки 212330 «прочие доходы» может быть </w:t>
      </w:r>
      <w:r w:rsidR="00D37F2C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равен показателю по коду строки 2340 «прочие доходы» формы №2 «Отчет о финансовых результатах» (на разрыве – </w:t>
      </w:r>
      <w:r w:rsidR="007B2D85" w:rsidRPr="0024148B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полученный доход</w:t>
      </w:r>
      <w:r w:rsidR="007B2D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реализации товаров, работ и услуг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, доходы от участия в других организациях</w:t>
      </w:r>
      <w:r w:rsidR="007B2D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7B2D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23E87D71" w14:textId="2AB56A8B" w:rsidR="00CB12D7" w:rsidRPr="0073675C" w:rsidRDefault="00CB12D7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2400 отражаются </w:t>
      </w:r>
      <w:r w:rsidR="00FC21F4" w:rsidRPr="00FC2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фактические </w:t>
      </w:r>
      <w:r w:rsidRPr="00FC21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расходы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кооператива за отчетный период, в том числе:</w:t>
      </w:r>
    </w:p>
    <w:p w14:paraId="75BB9698" w14:textId="77777777" w:rsidR="00FC21F4" w:rsidRPr="00BB1936" w:rsidRDefault="00CB12D7" w:rsidP="00FC21F4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по коду 2</w:t>
      </w:r>
      <w:r w:rsidR="00215B1B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2410 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проценты, уплаченные по обязательствам кооператива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C21F4" w:rsidRPr="00BB1936">
        <w:rPr>
          <w:rFonts w:ascii="Times New Roman" w:hAnsi="Times New Roman" w:cs="Times New Roman"/>
          <w:sz w:val="28"/>
          <w:szCs w:val="28"/>
          <w:highlight w:val="yellow"/>
        </w:rPr>
        <w:t xml:space="preserve">Равенство </w:t>
      </w:r>
      <w:r w:rsidR="00FC21F4">
        <w:rPr>
          <w:rFonts w:ascii="Times New Roman" w:hAnsi="Times New Roman" w:cs="Times New Roman"/>
          <w:sz w:val="28"/>
          <w:szCs w:val="28"/>
          <w:highlight w:val="yellow"/>
        </w:rPr>
        <w:t xml:space="preserve">между формами </w:t>
      </w:r>
      <w:r w:rsidR="00FC21F4" w:rsidRPr="00BB1936">
        <w:rPr>
          <w:rFonts w:ascii="Times New Roman" w:hAnsi="Times New Roman" w:cs="Times New Roman"/>
          <w:sz w:val="28"/>
          <w:szCs w:val="28"/>
          <w:highlight w:val="yellow"/>
        </w:rPr>
        <w:t>выполняется, если начисленные проценты в форм</w:t>
      </w:r>
      <w:r w:rsidR="00FC21F4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FC21F4" w:rsidRPr="00BB1936">
        <w:rPr>
          <w:rFonts w:ascii="Times New Roman" w:hAnsi="Times New Roman" w:cs="Times New Roman"/>
          <w:sz w:val="28"/>
          <w:szCs w:val="28"/>
          <w:highlight w:val="yellow"/>
        </w:rPr>
        <w:t xml:space="preserve"> 2 равны уплаченным процентам в форме 1-СПР</w:t>
      </w:r>
      <w:r w:rsidR="00FC21F4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FC21F4" w:rsidRPr="00BB1936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14:paraId="73EC49E7" w14:textId="388D3696" w:rsidR="00123A0B" w:rsidRPr="00FC21F4" w:rsidRDefault="00123A0B" w:rsidP="00421E16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2430 указываются прочие расходы кооператива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расходы на содержание кооператива)</w:t>
      </w:r>
      <w:r w:rsidR="00867CCA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Показатель 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больше либо равен</w:t>
      </w:r>
      <w:r w:rsidR="00867CCA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67CCA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строки 2350 «прочие расходы»</w:t>
      </w:r>
      <w:r w:rsidR="0013229B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№2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разрыве </w:t>
      </w:r>
      <w:r w:rsidR="006B12D1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37F2C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себестоимость</w:t>
      </w:r>
      <w:r w:rsidR="006B12D1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продаж, коммерческие и управленческие расходы, а также расходы, связанные с уплатой налогов</w:t>
      </w:r>
      <w:r w:rsidR="007012B5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7012B5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spellEnd"/>
      <w:r w:rsidR="006B12D1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1BB9" w:rsidRPr="00FC21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E0B054" w14:textId="0E39654C" w:rsidR="00D71BB9" w:rsidRPr="00D52F0D" w:rsidRDefault="00D71BB9" w:rsidP="006639D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360" w:lineRule="exact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F0D">
        <w:rPr>
          <w:rFonts w:ascii="Times New Roman" w:hAnsi="Times New Roman" w:cs="Times New Roman"/>
          <w:color w:val="000000"/>
          <w:sz w:val="28"/>
          <w:szCs w:val="28"/>
        </w:rPr>
        <w:t>из строки 222430 выделяются расходы на оплату труда с отчислениями (код 222431).</w:t>
      </w:r>
    </w:p>
    <w:p w14:paraId="4ADC0F57" w14:textId="77777777" w:rsidR="00636624" w:rsidRPr="0073675C" w:rsidRDefault="00867CCA" w:rsidP="0053477B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2500 указывается количество сотрудников кооператива на конец отчетного периода</w:t>
      </w:r>
      <w:r w:rsidR="006639D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включая внешних совместителей и работников по </w:t>
      </w:r>
      <w:hyperlink r:id="rId9" w:history="1">
        <w:r w:rsidR="006639DE" w:rsidRPr="007367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гражданско-правовым договорам</w:t>
        </w:r>
      </w:hyperlink>
      <w:r w:rsidR="006639D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455026" w14:textId="77777777" w:rsidR="00636624" w:rsidRPr="0073675C" w:rsidRDefault="00636624" w:rsidP="00636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75C">
        <w:rPr>
          <w:rFonts w:ascii="Times New Roman" w:hAnsi="Times New Roman" w:cs="Times New Roman"/>
          <w:sz w:val="28"/>
          <w:szCs w:val="28"/>
        </w:rPr>
        <w:tab/>
      </w:r>
      <w:r w:rsidRPr="0024148B">
        <w:rPr>
          <w:rFonts w:ascii="Times New Roman" w:hAnsi="Times New Roman" w:cs="Times New Roman"/>
          <w:sz w:val="28"/>
          <w:szCs w:val="28"/>
        </w:rPr>
        <w:t xml:space="preserve">По коду 212501 отражается численность постоянных работников кооператива </w:t>
      </w:r>
      <w:r w:rsidR="00504C2D" w:rsidRPr="0024148B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4148B">
        <w:rPr>
          <w:rFonts w:ascii="Times New Roman" w:hAnsi="Times New Roman" w:cs="Times New Roman"/>
          <w:sz w:val="28"/>
          <w:szCs w:val="28"/>
        </w:rPr>
        <w:t>на 31 декабря отчетного года и предыдущего года.</w:t>
      </w:r>
      <w:r w:rsidRPr="00736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20AFF3" w14:textId="77777777" w:rsidR="00867CCA" w:rsidRPr="0073675C" w:rsidRDefault="00867CCA" w:rsidP="00636624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2600 отражается стоимость основных фондов (здания, сооружения, машины и оборудование, транспортные средства, рабочий и продуктивный скот, многолетние насаждения и другие виды основных фондов). По </w:t>
      </w:r>
      <w:r w:rsidR="0053477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указанной строке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отражаются арендованные и/или предоставленные в аренду (лизинг) основные фонды, если по условиям договора аренды (лизинга) эти основные фонды учитываются кооперативом на счете по учету основных средств. Показатель заполняется на основе инвентарных карточек </w:t>
      </w:r>
      <w:proofErr w:type="spellStart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пообъектного</w:t>
      </w:r>
      <w:proofErr w:type="spellEnd"/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основных средств по первоначальной (восстановительной) стоимости.</w:t>
      </w:r>
    </w:p>
    <w:p w14:paraId="360AD7B7" w14:textId="77777777" w:rsidR="008F26B9" w:rsidRPr="0073675C" w:rsidRDefault="0040600C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Подр</w:t>
      </w:r>
      <w:r w:rsidR="007268F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аздел 3 – </w:t>
      </w:r>
      <w:r w:rsidR="008F26B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Информация о</w:t>
      </w:r>
      <w:r w:rsidR="007268F9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деятельности кооператива</w:t>
      </w:r>
      <w:r w:rsidR="00215B1B" w:rsidRPr="0073675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14:paraId="59026A89" w14:textId="77777777" w:rsidR="006B12D1" w:rsidRPr="0073675C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3100 отражается общ</w:t>
      </w:r>
      <w:r w:rsidR="00215B1B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ее количество заключенных кооперативо</w:t>
      </w:r>
      <w:r w:rsidR="004E265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договоров 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4E265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займ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E265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долгосрочных, так и краткосрочных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, при этом стр.213110 должна соответствовать стр.211100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гр.5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CBDE88E" w14:textId="77777777" w:rsidR="006B12D1" w:rsidRPr="0073675C" w:rsidRDefault="00E9347F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 строки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213200 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нарастающим итогом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период </w:t>
      </w:r>
      <w:r w:rsidR="006B12D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сумма предоставленных в отчетном периоде займов</w:t>
      </w:r>
      <w:r w:rsidR="0071606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стр.213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должна соответствовать стр.211100 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A5F2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гр.6.</w:t>
      </w:r>
    </w:p>
    <w:p w14:paraId="2C8F60CF" w14:textId="77777777" w:rsidR="0023507B" w:rsidRPr="0073675C" w:rsidRDefault="006142D8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коду строки 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213300 соответственно указывается сумма возвращенных в отчетном периоде займо</w:t>
      </w:r>
      <w:r w:rsidR="00362A9D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были предоставлены кооперативом. </w:t>
      </w:r>
    </w:p>
    <w:p w14:paraId="1381BB25" w14:textId="77777777" w:rsidR="00E9347F" w:rsidRPr="0073675C" w:rsidRDefault="006142D8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по кодам строк 213200 и 213300</w:t>
      </w:r>
      <w:r w:rsidR="00E9347F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расшифровываются по займам, предоставленным членам и ассоциированным членам кооператива и кооперативам второго уровня. </w:t>
      </w:r>
    </w:p>
    <w:p w14:paraId="72F53B07" w14:textId="77777777" w:rsidR="00E9347F" w:rsidRPr="0073675C" w:rsidRDefault="004E6158" w:rsidP="004E6158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ВАЖНО: в соответствии с п.7 статьи 40.1 Федерального закона 193-ФЗ кредитный кооператив НЕ ВПРАВЕ выдавать займы гражданам или юридическим лицам, не являющимся членами кредитного кооператива, а также привлекать средства в форме займов от граждан или юридических лиц, не являющихся членами кооператива или ассоциированными членами кооператива.</w:t>
      </w:r>
    </w:p>
    <w:p w14:paraId="44E66B69" w14:textId="77777777" w:rsidR="007268F9" w:rsidRPr="0073675C" w:rsidRDefault="007268F9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Остаток 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непогашенной дебиторской задолженности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947A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предоставленным кооперативом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займам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конец отчетного периода 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включая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</w:t>
      </w:r>
      <w:r w:rsidR="006142D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уплате)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отражается по коду 2</w:t>
      </w:r>
      <w:r w:rsidR="00C947A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47AA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016861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6B37C53" w14:textId="77777777" w:rsidR="006142D8" w:rsidRPr="0073675C" w:rsidRDefault="006142D8" w:rsidP="006142D8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по коду строки 213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может быть </w:t>
      </w:r>
      <w:r w:rsidR="00AC2916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либо равен остаткам, отраженным по кодам строк 1170 «финансовые вложения», 1230 «дебиторская задолженность», 1240 «финансовые вложения (за исключением денежных эквивалентов)» формы №1 «Бухгалтерский баланс».</w:t>
      </w:r>
    </w:p>
    <w:p w14:paraId="3EB56C8C" w14:textId="77777777" w:rsidR="006142D8" w:rsidRPr="0073675C" w:rsidRDefault="00AC2916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214100 отражается общее количество заключенных договоров о привлечении кооперативом денежных средств за отчетный период (как долгосрочных, так и краткосрочных).</w:t>
      </w:r>
    </w:p>
    <w:p w14:paraId="5111FC04" w14:textId="77777777" w:rsidR="00AC2916" w:rsidRPr="0073675C" w:rsidRDefault="00AC2916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214200 отражается нарастающим итогом сумма привлеченных за отчетный период кредитов и займов</w:t>
      </w:r>
      <w:r w:rsidR="007E373F" w:rsidRPr="0073675C">
        <w:rPr>
          <w:rFonts w:ascii="Times New Roman" w:hAnsi="Times New Roman" w:cs="Times New Roman"/>
          <w:strike/>
          <w:color w:val="000000" w:themeColor="text1"/>
          <w:sz w:val="28"/>
          <w:szCs w:val="28"/>
        </w:rPr>
        <w:t>.</w:t>
      </w:r>
    </w:p>
    <w:p w14:paraId="39FE1865" w14:textId="77777777" w:rsidR="007B0A85" w:rsidRPr="0073675C" w:rsidRDefault="0023507B" w:rsidP="007B0A85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по коду строки 214200 увязывается на равенство с показателями по кодам 62300 и 62500 формы №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 «Отчет об отраслевых показателях деятельности организаций агропромышленного комплекса».</w:t>
      </w:r>
      <w:r w:rsidR="007B0A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26B9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0A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оказатель по коду 214230 должен соответствовать коду 62300 ф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№ </w:t>
      </w:r>
      <w:r w:rsidR="007B0A85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6-АПК.</w:t>
      </w:r>
    </w:p>
    <w:p w14:paraId="63FAA698" w14:textId="77777777" w:rsidR="0023507B" w:rsidRPr="0073675C" w:rsidRDefault="0023507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214300 отражается погашение кредитов и займов в отчетном периоде с учетом процентов.</w:t>
      </w:r>
    </w:p>
    <w:p w14:paraId="21D5EF23" w14:textId="77777777" w:rsidR="0023507B" w:rsidRPr="0073675C" w:rsidRDefault="0023507B" w:rsidP="0053477B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По коду строки 214400 отражается остаток непогашенной кредиторской задолженности по кредитам и займам (включая проценты к уплате) на конец отчетного периода.</w:t>
      </w:r>
    </w:p>
    <w:p w14:paraId="2743C3FE" w14:textId="77777777" w:rsidR="008D7038" w:rsidRPr="0073675C" w:rsidRDefault="0023507B" w:rsidP="008D7038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Показатель по коду строки 214400 увязывается на равенство с показателями по кодам строк 1410 «заемные средства» и 1510 «заемные средства» формы №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1 «Бухгалтерский баланс»</w:t>
      </w:r>
      <w:r w:rsidR="008D703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соответственно расшифровке данных показателей в </w:t>
      </w:r>
      <w:r w:rsidR="008D703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орме № </w:t>
      </w:r>
      <w:r w:rsidR="008D7038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 (стр.62140 и 62150).</w:t>
      </w:r>
    </w:p>
    <w:p w14:paraId="6DC2BC8A" w14:textId="77777777" w:rsidR="00294A07" w:rsidRPr="0073675C" w:rsidRDefault="008D7038" w:rsidP="0073675C">
      <w:pPr>
        <w:autoSpaceDE w:val="0"/>
        <w:autoSpaceDN w:val="0"/>
        <w:adjustRightInd w:val="0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задолженность перед кредитными организациями, отраженная по коду 214430, должна соответствовать сумме стр.62141 и 62151 ф</w:t>
      </w:r>
      <w:r w:rsidR="00C77D0E"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ормы № </w:t>
      </w:r>
      <w:r w:rsidRPr="0073675C">
        <w:rPr>
          <w:rFonts w:ascii="Times New Roman" w:hAnsi="Times New Roman" w:cs="Times New Roman"/>
          <w:color w:val="000000" w:themeColor="text1"/>
          <w:sz w:val="28"/>
          <w:szCs w:val="28"/>
        </w:rPr>
        <w:t>6-АПК.</w:t>
      </w:r>
    </w:p>
    <w:sectPr w:rsidR="00294A07" w:rsidRPr="0073675C" w:rsidSect="00E5599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126E2"/>
    <w:multiLevelType w:val="hybridMultilevel"/>
    <w:tmpl w:val="E004BC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8734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9E"/>
    <w:rsid w:val="00016861"/>
    <w:rsid w:val="00055FA0"/>
    <w:rsid w:val="000B1EBF"/>
    <w:rsid w:val="000B524F"/>
    <w:rsid w:val="000B64B8"/>
    <w:rsid w:val="000E7B4B"/>
    <w:rsid w:val="00105AB9"/>
    <w:rsid w:val="00123A0B"/>
    <w:rsid w:val="0013229B"/>
    <w:rsid w:val="00173D53"/>
    <w:rsid w:val="00196358"/>
    <w:rsid w:val="001A3C61"/>
    <w:rsid w:val="001C486E"/>
    <w:rsid w:val="001E0F18"/>
    <w:rsid w:val="001F2254"/>
    <w:rsid w:val="00203BBF"/>
    <w:rsid w:val="00215B1B"/>
    <w:rsid w:val="00222929"/>
    <w:rsid w:val="0023507B"/>
    <w:rsid w:val="0024148B"/>
    <w:rsid w:val="00260B1C"/>
    <w:rsid w:val="00294A07"/>
    <w:rsid w:val="002D1E70"/>
    <w:rsid w:val="002F011C"/>
    <w:rsid w:val="00304803"/>
    <w:rsid w:val="00307B75"/>
    <w:rsid w:val="00362A9D"/>
    <w:rsid w:val="00396DBA"/>
    <w:rsid w:val="003F1AA8"/>
    <w:rsid w:val="0040600C"/>
    <w:rsid w:val="004428C7"/>
    <w:rsid w:val="004432F1"/>
    <w:rsid w:val="0044346F"/>
    <w:rsid w:val="00453435"/>
    <w:rsid w:val="00463792"/>
    <w:rsid w:val="004752E1"/>
    <w:rsid w:val="004B27A7"/>
    <w:rsid w:val="004C3803"/>
    <w:rsid w:val="004E2659"/>
    <w:rsid w:val="004E6158"/>
    <w:rsid w:val="004F5AD6"/>
    <w:rsid w:val="00504C2D"/>
    <w:rsid w:val="0050751F"/>
    <w:rsid w:val="0053477B"/>
    <w:rsid w:val="006142D8"/>
    <w:rsid w:val="00615C76"/>
    <w:rsid w:val="00616D88"/>
    <w:rsid w:val="00636624"/>
    <w:rsid w:val="006639DE"/>
    <w:rsid w:val="00672632"/>
    <w:rsid w:val="006A069E"/>
    <w:rsid w:val="006B12D1"/>
    <w:rsid w:val="006B7F42"/>
    <w:rsid w:val="006D0312"/>
    <w:rsid w:val="006D0CFD"/>
    <w:rsid w:val="006E4B8F"/>
    <w:rsid w:val="006F5EEA"/>
    <w:rsid w:val="007012B5"/>
    <w:rsid w:val="00707530"/>
    <w:rsid w:val="0071606E"/>
    <w:rsid w:val="007268F9"/>
    <w:rsid w:val="007339D8"/>
    <w:rsid w:val="00736327"/>
    <w:rsid w:val="0073675C"/>
    <w:rsid w:val="007A4FD1"/>
    <w:rsid w:val="007B0A85"/>
    <w:rsid w:val="007B2D85"/>
    <w:rsid w:val="007E373F"/>
    <w:rsid w:val="007F29BB"/>
    <w:rsid w:val="00843AC4"/>
    <w:rsid w:val="008500A7"/>
    <w:rsid w:val="00860D3B"/>
    <w:rsid w:val="00867CCA"/>
    <w:rsid w:val="0089087B"/>
    <w:rsid w:val="00895741"/>
    <w:rsid w:val="008A5F2A"/>
    <w:rsid w:val="008D629B"/>
    <w:rsid w:val="008D7038"/>
    <w:rsid w:val="008F26B9"/>
    <w:rsid w:val="00912595"/>
    <w:rsid w:val="00923B74"/>
    <w:rsid w:val="009547E7"/>
    <w:rsid w:val="00975400"/>
    <w:rsid w:val="009B4CA6"/>
    <w:rsid w:val="009C6849"/>
    <w:rsid w:val="009E46FB"/>
    <w:rsid w:val="00A009E4"/>
    <w:rsid w:val="00A22CB3"/>
    <w:rsid w:val="00A46C41"/>
    <w:rsid w:val="00A93D70"/>
    <w:rsid w:val="00A95D38"/>
    <w:rsid w:val="00AA4F73"/>
    <w:rsid w:val="00AC2916"/>
    <w:rsid w:val="00AD136C"/>
    <w:rsid w:val="00AD5E19"/>
    <w:rsid w:val="00BA2140"/>
    <w:rsid w:val="00BA69AC"/>
    <w:rsid w:val="00BA7EF9"/>
    <w:rsid w:val="00BB0A32"/>
    <w:rsid w:val="00BF642C"/>
    <w:rsid w:val="00C32432"/>
    <w:rsid w:val="00C342C6"/>
    <w:rsid w:val="00C77D0E"/>
    <w:rsid w:val="00C9183E"/>
    <w:rsid w:val="00C947AA"/>
    <w:rsid w:val="00CB12D7"/>
    <w:rsid w:val="00CB702A"/>
    <w:rsid w:val="00CE6D42"/>
    <w:rsid w:val="00D250AD"/>
    <w:rsid w:val="00D34B07"/>
    <w:rsid w:val="00D37F2C"/>
    <w:rsid w:val="00D403C9"/>
    <w:rsid w:val="00D50273"/>
    <w:rsid w:val="00D524E8"/>
    <w:rsid w:val="00D52F0D"/>
    <w:rsid w:val="00D71BB9"/>
    <w:rsid w:val="00D829AE"/>
    <w:rsid w:val="00D8580C"/>
    <w:rsid w:val="00DC0F9A"/>
    <w:rsid w:val="00DF55C0"/>
    <w:rsid w:val="00E3220C"/>
    <w:rsid w:val="00E3282C"/>
    <w:rsid w:val="00E36631"/>
    <w:rsid w:val="00E50897"/>
    <w:rsid w:val="00E5335E"/>
    <w:rsid w:val="00E54645"/>
    <w:rsid w:val="00E55995"/>
    <w:rsid w:val="00E90F6F"/>
    <w:rsid w:val="00E9347F"/>
    <w:rsid w:val="00EF1913"/>
    <w:rsid w:val="00EF38FC"/>
    <w:rsid w:val="00F3203F"/>
    <w:rsid w:val="00F40028"/>
    <w:rsid w:val="00F44654"/>
    <w:rsid w:val="00FC21F4"/>
    <w:rsid w:val="00FE0AFD"/>
    <w:rsid w:val="00FE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5A64"/>
  <w15:chartTrackingRefBased/>
  <w15:docId w15:val="{1D7450BE-FD4E-4337-9900-4E5CB58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47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23BAA1276B0A6C09263B22DD39D6115E559041k44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383EC87CC67EAC53B23BAA1276B0A6C09263B22DD39D6115E559041k44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383EC87CC67EAC53B23BAA1276B0A6C09263B22DD39D6115E559041k441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6BD86B9C28986545D380918FCE0CFFA9CB7374406F1A9BF28582403F12EB83ADDA3E5D889618FBE5784D487EiB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F499-CADA-409D-95CE-E5CF9AB4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Gumerova</cp:lastModifiedBy>
  <cp:revision>10</cp:revision>
  <cp:lastPrinted>2018-02-27T14:29:00Z</cp:lastPrinted>
  <dcterms:created xsi:type="dcterms:W3CDTF">2020-01-21T12:20:00Z</dcterms:created>
  <dcterms:modified xsi:type="dcterms:W3CDTF">2024-01-22T10:13:00Z</dcterms:modified>
</cp:coreProperties>
</file>