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Доклад об осуществлении государственного контроля (надзора), муниципального контроля  Суляевским  сельским поселением  Кумылженского муниципального  района Волгоградской области  в 2019 году</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 1.</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Состояние нормативно-правового регулирования в</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соответствующей сфере деятельности</w:t>
      </w:r>
    </w:p>
    <w:p>
      <w:pPr>
        <w:tabs>
          <w:tab w:val="left" w:pos="16776856"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1677685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Исполнение муниципальной функции по осуществлению муниципального контроля </w:t>
      </w:r>
      <w:r>
        <w:rPr>
          <w:rFonts w:ascii="Times New Roman" w:hAnsi="Times New Roman" w:cs="Times New Roman" w:eastAsia="Times New Roman"/>
          <w:color w:val="000000"/>
          <w:spacing w:val="0"/>
          <w:position w:val="0"/>
          <w:sz w:val="24"/>
          <w:shd w:fill="auto" w:val="clear"/>
        </w:rPr>
        <w:t xml:space="preserve">за обеспечением сохранности автомобильных дорого местного значения в границах населенных пунктов Суляевского сельского поселения Кумылженского муниципального района Волгоградской области</w:t>
      </w:r>
      <w:r>
        <w:rPr>
          <w:rFonts w:ascii="Times New Roman" w:hAnsi="Times New Roman" w:cs="Times New Roman" w:eastAsia="Times New Roman"/>
          <w:b/>
          <w:color w:val="auto"/>
          <w:spacing w:val="0"/>
          <w:position w:val="0"/>
          <w:sz w:val="24"/>
          <w:shd w:fill="auto" w:val="clear"/>
        </w:rPr>
        <w:t xml:space="preserve"> осуществляется в соответствии с:</w:t>
      </w:r>
    </w:p>
    <w:p>
      <w:pPr>
        <w:tabs>
          <w:tab w:val="left" w:pos="16776856" w:leader="none"/>
        </w:tabs>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tabs>
          <w:tab w:val="left" w:pos="16776856" w:leader="none"/>
        </w:tabs>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Конституцией Российской Федерации (официальный текст с внесенными в нее поправками от 21.07.2014 г.  опубликован на Официальном интернет-портале правовой информации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w:t>
        </w:r>
        <w:r>
          <w:rPr>
            <w:rFonts w:ascii="Times New Roman" w:hAnsi="Times New Roman" w:cs="Times New Roman" w:eastAsia="Times New Roman"/>
            <w:vanish/>
            <w:color w:val="0000FF"/>
            <w:spacing w:val="0"/>
            <w:position w:val="0"/>
            <w:sz w:val="24"/>
            <w:u w:val="single"/>
            <w:shd w:fill="auto" w:val="clear"/>
          </w:rPr>
          <w:t xml:space="preserve">HYPERLINK "http://www.pravo.gov.ru/"</w:t>
        </w:r>
        <w:r>
          <w:rPr>
            <w:rFonts w:ascii="Times New Roman" w:hAnsi="Times New Roman" w:cs="Times New Roman" w:eastAsia="Times New Roman"/>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"http://www.pravo.gov.ru/"</w:t>
        </w:r>
        <w:r>
          <w:rPr>
            <w:rFonts w:ascii="Times New Roman" w:hAnsi="Times New Roman" w:cs="Times New Roman" w:eastAsia="Times New Roman"/>
            <w:color w:val="0000FF"/>
            <w:spacing w:val="0"/>
            <w:position w:val="0"/>
            <w:sz w:val="24"/>
            <w:u w:val="single"/>
            <w:shd w:fill="auto" w:val="clear"/>
          </w:rPr>
          <w:t xml:space="preserve">www</w:t>
        </w:r>
        <w:r>
          <w:rPr>
            <w:rFonts w:ascii="Times New Roman" w:hAnsi="Times New Roman" w:cs="Times New Roman" w:eastAsia="Times New Roman"/>
            <w:vanish/>
            <w:color w:val="0000FF"/>
            <w:spacing w:val="0"/>
            <w:position w:val="0"/>
            <w:sz w:val="24"/>
            <w:u w:val="single"/>
            <w:shd w:fill="auto" w:val="clear"/>
          </w:rPr>
          <w:t xml:space="preserve">HYPERLINK "http://www.pravo.gov.ru/"</w:t>
        </w:r>
        <w:r>
          <w:rPr>
            <w:rFonts w:ascii="Times New Roman" w:hAnsi="Times New Roman" w:cs="Times New Roman" w:eastAsia="Times New Roman"/>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"http://www.pravo.gov.ru/"</w:t>
        </w:r>
        <w:r>
          <w:rPr>
            <w:rFonts w:ascii="Times New Roman" w:hAnsi="Times New Roman" w:cs="Times New Roman" w:eastAsia="Times New Roman"/>
            <w:color w:val="0000FF"/>
            <w:spacing w:val="0"/>
            <w:position w:val="0"/>
            <w:sz w:val="24"/>
            <w:u w:val="single"/>
            <w:shd w:fill="auto" w:val="clear"/>
          </w:rPr>
          <w:t xml:space="preserve">pravo</w:t>
        </w:r>
        <w:r>
          <w:rPr>
            <w:rFonts w:ascii="Times New Roman" w:hAnsi="Times New Roman" w:cs="Times New Roman" w:eastAsia="Times New Roman"/>
            <w:vanish/>
            <w:color w:val="0000FF"/>
            <w:spacing w:val="0"/>
            <w:position w:val="0"/>
            <w:sz w:val="24"/>
            <w:u w:val="single"/>
            <w:shd w:fill="auto" w:val="clear"/>
          </w:rPr>
          <w:t xml:space="preserve">HYPERLINK "http://www.pravo.gov.ru/"</w:t>
        </w:r>
        <w:r>
          <w:rPr>
            <w:rFonts w:ascii="Times New Roman" w:hAnsi="Times New Roman" w:cs="Times New Roman" w:eastAsia="Times New Roman"/>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"http://www.pravo.gov.ru/"</w:t>
        </w:r>
        <w:r>
          <w:rPr>
            <w:rFonts w:ascii="Times New Roman" w:hAnsi="Times New Roman" w:cs="Times New Roman" w:eastAsia="Times New Roman"/>
            <w:color w:val="0000FF"/>
            <w:spacing w:val="0"/>
            <w:position w:val="0"/>
            <w:sz w:val="24"/>
            <w:u w:val="single"/>
            <w:shd w:fill="auto" w:val="clear"/>
          </w:rPr>
          <w:t xml:space="preserve">gov</w:t>
        </w:r>
        <w:r>
          <w:rPr>
            <w:rFonts w:ascii="Times New Roman" w:hAnsi="Times New Roman" w:cs="Times New Roman" w:eastAsia="Times New Roman"/>
            <w:vanish/>
            <w:color w:val="0000FF"/>
            <w:spacing w:val="0"/>
            <w:position w:val="0"/>
            <w:sz w:val="24"/>
            <w:u w:val="single"/>
            <w:shd w:fill="auto" w:val="clear"/>
          </w:rPr>
          <w:t xml:space="preserve">HYPERLINK "http://www.pravo.gov.ru/"</w:t>
        </w:r>
        <w:r>
          <w:rPr>
            <w:rFonts w:ascii="Times New Roman" w:hAnsi="Times New Roman" w:cs="Times New Roman" w:eastAsia="Times New Roman"/>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"http://www.pravo.gov.ru/"</w:t>
        </w:r>
        <w:r>
          <w:rPr>
            <w:rFonts w:ascii="Times New Roman" w:hAnsi="Times New Roman" w:cs="Times New Roman" w:eastAsia="Times New Roman"/>
            <w:color w:val="0000FF"/>
            <w:spacing w:val="0"/>
            <w:position w:val="0"/>
            <w:sz w:val="24"/>
            <w:u w:val="single"/>
            <w:shd w:fill="auto" w:val="clear"/>
          </w:rPr>
          <w:t xml:space="preserve">ru</w:t>
        </w:r>
      </w:hyperlink>
      <w:r>
        <w:rPr>
          <w:rFonts w:ascii="Times New Roman" w:hAnsi="Times New Roman" w:cs="Times New Roman" w:eastAsia="Times New Roman"/>
          <w:color w:val="auto"/>
          <w:spacing w:val="0"/>
          <w:position w:val="0"/>
          <w:sz w:val="24"/>
          <w:shd w:fill="auto" w:val="clear"/>
        </w:rPr>
        <w:t xml:space="preserve">, 01.08.2014, «</w:t>
      </w:r>
      <w:r>
        <w:rPr>
          <w:rFonts w:ascii="Times New Roman" w:hAnsi="Times New Roman" w:cs="Times New Roman" w:eastAsia="Times New Roman"/>
          <w:color w:val="auto"/>
          <w:spacing w:val="0"/>
          <w:position w:val="0"/>
          <w:sz w:val="24"/>
          <w:shd w:fill="auto" w:val="clear"/>
        </w:rPr>
        <w:t xml:space="preserve">Собрание законодательства РФ</w:t>
      </w:r>
      <w:r>
        <w:rPr>
          <w:rFonts w:ascii="Times New Roman" w:hAnsi="Times New Roman" w:cs="Times New Roman" w:eastAsia="Times New Roman"/>
          <w:color w:val="auto"/>
          <w:spacing w:val="0"/>
          <w:position w:val="0"/>
          <w:sz w:val="24"/>
          <w:shd w:fill="auto" w:val="clear"/>
        </w:rPr>
        <w:t xml:space="preserve">», 04.08.2014, № 31, </w:t>
      </w:r>
      <w:r>
        <w:rPr>
          <w:rFonts w:ascii="Times New Roman" w:hAnsi="Times New Roman" w:cs="Times New Roman" w:eastAsia="Times New Roman"/>
          <w:color w:val="auto"/>
          <w:spacing w:val="0"/>
          <w:position w:val="0"/>
          <w:sz w:val="24"/>
          <w:shd w:fill="auto" w:val="clear"/>
        </w:rPr>
        <w:t xml:space="preserve">ст. 4398);</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Кодекс</w:t>
        </w:r>
      </w:hyperlink>
      <w:r>
        <w:rPr>
          <w:rFonts w:ascii="Times New Roman" w:hAnsi="Times New Roman" w:cs="Times New Roman" w:eastAsia="Times New Roman"/>
          <w:color w:val="auto"/>
          <w:spacing w:val="0"/>
          <w:position w:val="0"/>
          <w:sz w:val="24"/>
          <w:shd w:fill="auto" w:val="clear"/>
        </w:rPr>
        <w:t xml:space="preserve">ом Российской Федерации об административных правонарушениях от                    30 декабря 2001 г. № 195-ФЗ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256, 31.12.2001, «</w:t>
      </w:r>
      <w:r>
        <w:rPr>
          <w:rFonts w:ascii="Times New Roman" w:hAnsi="Times New Roman" w:cs="Times New Roman" w:eastAsia="Times New Roman"/>
          <w:color w:val="auto"/>
          <w:spacing w:val="0"/>
          <w:position w:val="0"/>
          <w:sz w:val="24"/>
          <w:shd w:fill="auto" w:val="clear"/>
        </w:rPr>
        <w:t xml:space="preserve">Парламентская газета</w:t>
      </w:r>
      <w:r>
        <w:rPr>
          <w:rFonts w:ascii="Times New Roman" w:hAnsi="Times New Roman" w:cs="Times New Roman" w:eastAsia="Times New Roman"/>
          <w:color w:val="auto"/>
          <w:spacing w:val="0"/>
          <w:position w:val="0"/>
          <w:sz w:val="24"/>
          <w:shd w:fill="auto" w:val="clear"/>
        </w:rPr>
        <w:t xml:space="preserve">», № 2-5, 05.01.2002, «</w:t>
      </w:r>
      <w:r>
        <w:rPr>
          <w:rFonts w:ascii="Times New Roman" w:hAnsi="Times New Roman" w:cs="Times New Roman" w:eastAsia="Times New Roman"/>
          <w:color w:val="auto"/>
          <w:spacing w:val="0"/>
          <w:position w:val="0"/>
          <w:sz w:val="24"/>
          <w:shd w:fill="auto" w:val="clear"/>
        </w:rPr>
        <w:t xml:space="preserve">Собрание законодательства РФ</w:t>
      </w:r>
      <w:r>
        <w:rPr>
          <w:rFonts w:ascii="Times New Roman" w:hAnsi="Times New Roman" w:cs="Times New Roman" w:eastAsia="Times New Roman"/>
          <w:color w:val="auto"/>
          <w:spacing w:val="0"/>
          <w:position w:val="0"/>
          <w:sz w:val="24"/>
          <w:shd w:fill="auto" w:val="clear"/>
        </w:rPr>
        <w:t xml:space="preserve">», 07.01.2002, № 1 (</w:t>
      </w:r>
      <w:r>
        <w:rPr>
          <w:rFonts w:ascii="Times New Roman" w:hAnsi="Times New Roman" w:cs="Times New Roman" w:eastAsia="Times New Roman"/>
          <w:color w:val="auto"/>
          <w:spacing w:val="0"/>
          <w:position w:val="0"/>
          <w:sz w:val="24"/>
          <w:shd w:fill="auto" w:val="clear"/>
        </w:rPr>
        <w:t xml:space="preserve">ч. 1), ст. 1);</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закон</w:t>
        </w:r>
      </w:hyperlink>
      <w:r>
        <w:rPr>
          <w:rFonts w:ascii="Times New Roman" w:hAnsi="Times New Roman" w:cs="Times New Roman" w:eastAsia="Times New Roman"/>
          <w:color w:val="auto"/>
          <w:spacing w:val="0"/>
          <w:position w:val="0"/>
          <w:sz w:val="24"/>
          <w:shd w:fill="auto" w:val="clear"/>
        </w:rPr>
        <w:t xml:space="preserve">ом от 10 декабря 1995 года № 196-ФЗ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безопасности дорожного движения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Собрание законодательства РФ</w:t>
      </w:r>
      <w:r>
        <w:rPr>
          <w:rFonts w:ascii="Times New Roman" w:hAnsi="Times New Roman" w:cs="Times New Roman" w:eastAsia="Times New Roman"/>
          <w:color w:val="auto"/>
          <w:spacing w:val="0"/>
          <w:position w:val="0"/>
          <w:sz w:val="24"/>
          <w:shd w:fill="auto" w:val="clear"/>
        </w:rPr>
        <w:t xml:space="preserve">», 11.12.1995, № 50, </w:t>
      </w:r>
      <w:r>
        <w:rPr>
          <w:rFonts w:ascii="Times New Roman" w:hAnsi="Times New Roman" w:cs="Times New Roman" w:eastAsia="Times New Roman"/>
          <w:color w:val="auto"/>
          <w:spacing w:val="0"/>
          <w:position w:val="0"/>
          <w:sz w:val="24"/>
          <w:shd w:fill="auto" w:val="clear"/>
        </w:rPr>
        <w:t xml:space="preserve">ст. 4873,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245, 26.12.1995);</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закон</w:t>
        </w:r>
      </w:hyperlink>
      <w:r>
        <w:rPr>
          <w:rFonts w:ascii="Times New Roman" w:hAnsi="Times New Roman" w:cs="Times New Roman" w:eastAsia="Times New Roman"/>
          <w:color w:val="auto"/>
          <w:spacing w:val="0"/>
          <w:position w:val="0"/>
          <w:sz w:val="24"/>
          <w:shd w:fill="auto" w:val="clear"/>
        </w:rPr>
        <w:t xml:space="preserve">ом от 06 октября 2003 года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Собрание законодательства РФ</w:t>
      </w:r>
      <w:r>
        <w:rPr>
          <w:rFonts w:ascii="Times New Roman" w:hAnsi="Times New Roman" w:cs="Times New Roman" w:eastAsia="Times New Roman"/>
          <w:color w:val="auto"/>
          <w:spacing w:val="0"/>
          <w:position w:val="0"/>
          <w:sz w:val="24"/>
          <w:shd w:fill="auto" w:val="clear"/>
        </w:rPr>
        <w:t xml:space="preserve">», 06.10.2003, № 40, </w:t>
      </w:r>
      <w:r>
        <w:rPr>
          <w:rFonts w:ascii="Times New Roman" w:hAnsi="Times New Roman" w:cs="Times New Roman" w:eastAsia="Times New Roman"/>
          <w:color w:val="auto"/>
          <w:spacing w:val="0"/>
          <w:position w:val="0"/>
          <w:sz w:val="24"/>
          <w:shd w:fill="auto" w:val="clear"/>
        </w:rPr>
        <w:t xml:space="preserve">ст. 3822,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Парламентская газета</w:t>
      </w:r>
      <w:r>
        <w:rPr>
          <w:rFonts w:ascii="Times New Roman" w:hAnsi="Times New Roman" w:cs="Times New Roman" w:eastAsia="Times New Roman"/>
          <w:color w:val="auto"/>
          <w:spacing w:val="0"/>
          <w:position w:val="0"/>
          <w:sz w:val="24"/>
          <w:shd w:fill="auto" w:val="clear"/>
        </w:rPr>
        <w:t xml:space="preserve">», № 186, 08.10.2003,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202, 08.10.2003);</w:t>
      </w:r>
    </w:p>
    <w:p>
      <w:pPr>
        <w:tabs>
          <w:tab w:val="left" w:pos="16776856" w:leader="none"/>
        </w:tabs>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законом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2 мая 2006 года № 59-ФЗ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порядке рассмотрения обращений граждан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95, 05.05.2006, </w:t>
      </w:r>
      <w:r>
        <w:rPr>
          <w:rFonts w:ascii="Times New Roman" w:hAnsi="Times New Roman" w:cs="Times New Roman" w:eastAsia="Times New Roman"/>
          <w:color w:val="auto"/>
          <w:spacing w:val="0"/>
          <w:position w:val="0"/>
          <w:sz w:val="24"/>
          <w:shd w:fill="auto" w:val="clear"/>
        </w:rPr>
        <w:t xml:space="preserve">Собрание законодательства РФ, 08.05.2006, № 19, ст. 2060,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Парламентская газета</w:t>
      </w:r>
      <w:r>
        <w:rPr>
          <w:rFonts w:ascii="Times New Roman" w:hAnsi="Times New Roman" w:cs="Times New Roman" w:eastAsia="Times New Roman"/>
          <w:color w:val="auto"/>
          <w:spacing w:val="0"/>
          <w:position w:val="0"/>
          <w:sz w:val="24"/>
          <w:shd w:fill="auto" w:val="clear"/>
        </w:rPr>
        <w:t xml:space="preserve">», № 70 - 71, 11.05.2006);</w:t>
      </w:r>
    </w:p>
    <w:p>
      <w:pPr>
        <w:tabs>
          <w:tab w:val="left" w:pos="16776856" w:leader="none"/>
        </w:tabs>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законом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27 июля 2006 года № 152-ФЗ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4131, 29.07.2006);</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закон</w:t>
        </w:r>
      </w:hyperlink>
      <w:r>
        <w:rPr>
          <w:rFonts w:ascii="Times New Roman" w:hAnsi="Times New Roman" w:cs="Times New Roman" w:eastAsia="Times New Roman"/>
          <w:color w:val="auto"/>
          <w:spacing w:val="0"/>
          <w:position w:val="0"/>
          <w:sz w:val="24"/>
          <w:shd w:fill="auto" w:val="clear"/>
        </w:rPr>
        <w:t xml:space="preserve">ом от 08 ноября 2007 года № 257-ФЗ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Собрание законодательства РФ</w:t>
      </w:r>
      <w:r>
        <w:rPr>
          <w:rFonts w:ascii="Times New Roman" w:hAnsi="Times New Roman" w:cs="Times New Roman" w:eastAsia="Times New Roman"/>
          <w:color w:val="auto"/>
          <w:spacing w:val="0"/>
          <w:position w:val="0"/>
          <w:sz w:val="24"/>
          <w:shd w:fill="auto" w:val="clear"/>
        </w:rPr>
        <w:t xml:space="preserve">», 12.11.2007, № 46, </w:t>
      </w:r>
      <w:r>
        <w:rPr>
          <w:rFonts w:ascii="Times New Roman" w:hAnsi="Times New Roman" w:cs="Times New Roman" w:eastAsia="Times New Roman"/>
          <w:color w:val="auto"/>
          <w:spacing w:val="0"/>
          <w:position w:val="0"/>
          <w:sz w:val="24"/>
          <w:shd w:fill="auto" w:val="clear"/>
        </w:rPr>
        <w:t xml:space="preserve">ст. 5553,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Парламентская газета</w:t>
      </w:r>
      <w:r>
        <w:rPr>
          <w:rFonts w:ascii="Times New Roman" w:hAnsi="Times New Roman" w:cs="Times New Roman" w:eastAsia="Times New Roman"/>
          <w:color w:val="auto"/>
          <w:spacing w:val="0"/>
          <w:position w:val="0"/>
          <w:sz w:val="24"/>
          <w:shd w:fill="auto" w:val="clear"/>
        </w:rPr>
        <w:t xml:space="preserve">», № 156-157, 14.11.2007,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254, 14.11.2007);</w:t>
      </w:r>
    </w:p>
    <w:p>
      <w:pPr>
        <w:tabs>
          <w:tab w:val="left" w:pos="16776856" w:leader="none"/>
        </w:tabs>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закон</w:t>
        </w:r>
      </w:hyperlink>
      <w:r>
        <w:rPr>
          <w:rFonts w:ascii="Times New Roman" w:hAnsi="Times New Roman" w:cs="Times New Roman" w:eastAsia="Times New Roman"/>
          <w:color w:val="auto"/>
          <w:spacing w:val="0"/>
          <w:position w:val="0"/>
          <w:sz w:val="24"/>
          <w:shd w:fill="auto" w:val="clear"/>
        </w:rPr>
        <w:t xml:space="preserve">ом от 26 декабря 2008 года № 294-ФЗ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266, 30.12.2008, </w:t>
      </w:r>
      <w:r>
        <w:rPr>
          <w:rFonts w:ascii="Times New Roman" w:hAnsi="Times New Roman" w:cs="Times New Roman" w:eastAsia="Times New Roman"/>
          <w:color w:val="auto"/>
          <w:spacing w:val="0"/>
          <w:position w:val="0"/>
          <w:sz w:val="24"/>
          <w:shd w:fill="auto" w:val="clear"/>
        </w:rPr>
        <w:t xml:space="preserve">Собрание законодательства РФ, 29.12.2008, № 52 (ч. 1), ст. 6249,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Парламентская газета</w:t>
      </w:r>
      <w:r>
        <w:rPr>
          <w:rFonts w:ascii="Times New Roman" w:hAnsi="Times New Roman" w:cs="Times New Roman" w:eastAsia="Times New Roman"/>
          <w:color w:val="auto"/>
          <w:spacing w:val="0"/>
          <w:position w:val="0"/>
          <w:sz w:val="24"/>
          <w:shd w:fill="auto" w:val="clear"/>
        </w:rPr>
        <w:t xml:space="preserve">», № 90, 31.12.2008);</w:t>
      </w:r>
    </w:p>
    <w:p>
      <w:pPr>
        <w:tabs>
          <w:tab w:val="left" w:pos="16776856" w:leader="none"/>
        </w:tabs>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w:t>
      </w: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закон</w:t>
        </w:r>
      </w:hyperlink>
      <w:r>
        <w:rPr>
          <w:rFonts w:ascii="Times New Roman" w:hAnsi="Times New Roman" w:cs="Times New Roman" w:eastAsia="Times New Roman"/>
          <w:color w:val="auto"/>
          <w:spacing w:val="0"/>
          <w:position w:val="0"/>
          <w:sz w:val="24"/>
          <w:shd w:fill="auto" w:val="clear"/>
        </w:rPr>
        <w:t xml:space="preserve">ом от 9 февраля 2009 года № 8-ФЗ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Собрание законодательства Российской Федерации, 2009, № 7, ст. 776; 2011, № 29, ст. 4291);</w:t>
      </w:r>
    </w:p>
    <w:p>
      <w:pPr>
        <w:tabs>
          <w:tab w:val="left" w:pos="16776856" w:leader="none"/>
        </w:tabs>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постановлением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Правительства Российской Федерации от 30 июня 2010 года                    № 489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первоначальный текст документа опубликован в издании "Собрание законодательства Российской Федерации", 12.07.2010, № 28, ст. 3706);</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приказом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Минэкономразвития России от 30 апреля 2009 года № 141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реализации положений Федерального закона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14.05.2009 </w:t>
      </w:r>
      <w:r>
        <w:rPr>
          <w:rFonts w:ascii="Times New Roman" w:hAnsi="Times New Roman" w:cs="Times New Roman" w:eastAsia="Times New Roman"/>
          <w:color w:val="auto"/>
          <w:spacing w:val="0"/>
          <w:position w:val="0"/>
          <w:sz w:val="24"/>
          <w:shd w:fill="auto" w:val="clear"/>
        </w:rPr>
        <w:t xml:space="preserve">г., № 85);</w:t>
      </w:r>
    </w:p>
    <w:p>
      <w:pPr>
        <w:tabs>
          <w:tab w:val="left" w:pos="16776856" w:leader="none"/>
        </w:tabs>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1">
        <w:r>
          <w:rPr>
            <w:rFonts w:ascii="Times New Roman" w:hAnsi="Times New Roman" w:cs="Times New Roman" w:eastAsia="Times New Roman"/>
            <w:color w:val="0000FF"/>
            <w:spacing w:val="0"/>
            <w:position w:val="0"/>
            <w:sz w:val="24"/>
            <w:u w:val="single"/>
            <w:shd w:fill="auto" w:val="clear"/>
          </w:rPr>
          <w:t xml:space="preserve">Кодекс</w:t>
        </w:r>
      </w:hyperlink>
      <w:r>
        <w:rPr>
          <w:rFonts w:ascii="Times New Roman" w:hAnsi="Times New Roman" w:cs="Times New Roman" w:eastAsia="Times New Roman"/>
          <w:color w:val="auto"/>
          <w:spacing w:val="0"/>
          <w:position w:val="0"/>
          <w:sz w:val="24"/>
          <w:shd w:fill="auto" w:val="clear"/>
        </w:rPr>
        <w:t xml:space="preserve">ом Волгоградской области об административной ответственности от                      11  июня  2008  года № 1693-ОД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Волгоградская правда</w:t>
      </w:r>
      <w:r>
        <w:rPr>
          <w:rFonts w:ascii="Times New Roman" w:hAnsi="Times New Roman" w:cs="Times New Roman" w:eastAsia="Times New Roman"/>
          <w:color w:val="auto"/>
          <w:spacing w:val="0"/>
          <w:position w:val="0"/>
          <w:sz w:val="24"/>
          <w:shd w:fill="auto" w:val="clear"/>
        </w:rPr>
        <w:t xml:space="preserve">», № 105, 18.06.2008 </w:t>
      </w:r>
      <w:r>
        <w:rPr>
          <w:rFonts w:ascii="Times New Roman" w:hAnsi="Times New Roman" w:cs="Times New Roman" w:eastAsia="Times New Roman"/>
          <w:color w:val="auto"/>
          <w:spacing w:val="0"/>
          <w:position w:val="0"/>
          <w:sz w:val="24"/>
          <w:shd w:fill="auto" w:val="clear"/>
        </w:rPr>
        <w:t xml:space="preserve">г.);</w:t>
      </w:r>
    </w:p>
    <w:p>
      <w:pPr>
        <w:tabs>
          <w:tab w:val="left" w:pos="16776856" w:leader="none"/>
        </w:tabs>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Правительства Волгоградской области от 27 августа 2013 года № 424-п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Волгоградская правда</w:t>
      </w:r>
      <w:r>
        <w:rPr>
          <w:rFonts w:ascii="Times New Roman" w:hAnsi="Times New Roman" w:cs="Times New Roman" w:eastAsia="Times New Roman"/>
          <w:color w:val="auto"/>
          <w:spacing w:val="0"/>
          <w:position w:val="0"/>
          <w:sz w:val="24"/>
          <w:shd w:fill="auto" w:val="clear"/>
        </w:rPr>
        <w:t xml:space="preserve">», № 163, 04.09.2013 </w:t>
      </w:r>
      <w:r>
        <w:rPr>
          <w:rFonts w:ascii="Times New Roman" w:hAnsi="Times New Roman" w:cs="Times New Roman" w:eastAsia="Times New Roman"/>
          <w:color w:val="auto"/>
          <w:spacing w:val="0"/>
          <w:position w:val="0"/>
          <w:sz w:val="24"/>
          <w:shd w:fill="auto" w:val="clear"/>
        </w:rPr>
        <w:t xml:space="preserve">г.);</w:t>
      </w:r>
    </w:p>
    <w:p>
      <w:pPr>
        <w:spacing w:before="0" w:after="0" w:line="240"/>
        <w:ind w:right="0" w:left="0" w:firstLine="9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Уставом</w:t>
      </w:r>
      <w:r>
        <w:rPr>
          <w:rFonts w:ascii="Times New Roman" w:hAnsi="Times New Roman" w:cs="Times New Roman" w:eastAsia="Times New Roman"/>
          <w:color w:val="auto"/>
          <w:spacing w:val="0"/>
          <w:position w:val="0"/>
          <w:sz w:val="24"/>
          <w:shd w:fill="auto" w:val="clear"/>
        </w:rPr>
        <w:t xml:space="preserve"> Суляевского  сельского поселения Кумылженского муниципального района Волгоградской области;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постановлением Суляевского сельского  поселения Кумылженского муниципального района Волгоградской  области  от 17.01.2017г №3 "Об утверждении административного регламента исполнения муниципальной функции по осуществлению муниципального контроля </w:t>
      </w:r>
      <w:r>
        <w:rPr>
          <w:rFonts w:ascii="Times New Roman" w:hAnsi="Times New Roman" w:cs="Times New Roman" w:eastAsia="Times New Roman"/>
          <w:color w:val="000000"/>
          <w:spacing w:val="0"/>
          <w:position w:val="0"/>
          <w:sz w:val="24"/>
          <w:shd w:fill="auto" w:val="clear"/>
        </w:rPr>
        <w:t xml:space="preserve">за обеспечением сохранности автомобильных дорого местного значения в границах населенных пунктов Суляевского сельского поселения Кумылженского муниципального района Волгоградской области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 2.</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государственного контроля (надзора),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муниципального контроля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Предметом муниципального контроля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обеспечением сохранности автомобильных дорог является соблюдение юридическими лицами и индивидуальными предпринимателями обязательных требований, установленных действующим законодательством в области обеспечения сохранности автомобильных дорог (далее – обязательные требования), в том числе: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требований к соблюдению порядка использования полос отвода и придорожных полос автомобильных дорог,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требований по соблюдению обязанностей при использовании автомобильных дорог в части недопущения повреждений автомобильных дорог и элементов их обустройства;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требований и условий по размещению объектов временного и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полосах отвода и придорожных полосах автомобильных дорог;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требований и условий по присоединению объектов дорожного сервиса к автомобильным дорогам, а также условий и порядка прокладки, переустройства, переноса инженерных коммуникаций, их эксплуатации в границах полос отвода и придорожных полос автомобильных дорог;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требований к организации и проведению работ по строительству, реконструкции, капитальному ремонту, ремонту и содержанию автомобильных дорог.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Проверки в отношении юридических лиц, индивидуальных предпринимателей проводятся в форме плановых и внеплановых проверок. Плановые проверки проводятся на основании разрабатываемых и утверждаемых уполномоченным органом ежегодных планов.  Проект ежегодного плана проведения плановых проверок юридических лиц и индивидуальных предпринимателей разрабатывается </w:t>
      </w:r>
      <w:r>
        <w:rPr>
          <w:rFonts w:ascii="Times New Roman" w:hAnsi="Times New Roman" w:cs="Times New Roman" w:eastAsia="Times New Roman"/>
          <w:color w:val="000000"/>
          <w:spacing w:val="0"/>
          <w:position w:val="0"/>
          <w:sz w:val="24"/>
          <w:shd w:fill="auto" w:val="clear"/>
        </w:rPr>
        <w:t xml:space="preserve">главой Суляевского</w:t>
      </w:r>
      <w:r>
        <w:rPr>
          <w:rFonts w:ascii="Times New Roman" w:hAnsi="Times New Roman" w:cs="Times New Roman" w:eastAsia="Times New Roman"/>
          <w:color w:val="auto"/>
          <w:spacing w:val="0"/>
          <w:position w:val="0"/>
          <w:sz w:val="24"/>
          <w:shd w:fill="auto" w:val="clear"/>
        </w:rPr>
        <w:t xml:space="preserve"> сельского поселения, ответственным за составление плана проверок, по типовой форме ежегодного </w:t>
      </w:r>
      <w:hyperlink xmlns:r="http://schemas.openxmlformats.org/officeDocument/2006/relationships" r:id="docRId12">
        <w:r>
          <w:rPr>
            <w:rFonts w:ascii="Times New Roman" w:hAnsi="Times New Roman" w:cs="Times New Roman" w:eastAsia="Times New Roman"/>
            <w:color w:val="0000FF"/>
            <w:spacing w:val="0"/>
            <w:position w:val="0"/>
            <w:sz w:val="24"/>
            <w:u w:val="single"/>
            <w:shd w:fill="auto" w:val="clear"/>
          </w:rPr>
          <w:t xml:space="preserve">плана</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г. № 489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Основанием для начала  проведения  проверки и оформлению результатов проверки является распоряжение главы Суляевского сельского поселения, ее заместителя. Ответственными за проведение проверки и оформление результатов проверки являются должностные лица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администрации Суляевского сельского поселения Кумылженского муниципального района Волгоградской области.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проведении плановой проверки юридическое лицо, индивидуальный предприниматель уведомляются уполномоченным органом не позднее,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чем за три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рабочих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проведения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посредством направления копии распоряжения руководителя, заместителя руководителя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проведении внеплановой выездной проверки, за исключением внеплановой выездной проверки,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муниципального контроля.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Внеплановые проверки в отношении юридических лиц и индивидуальных предпринимателей проводятся в следующих случаях:</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Суляевского сельского поселения Кумылженского муниципального района Волгоградской области;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поступления в Уполномоченный орган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мотивированного представления должностного лица Уполномоченного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результатам проверки должностными лицами администрации Суляевского сельского поселения Кумылженского муниципального района Волгоградской области</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проводившими проверку в отношении юридического лица, индивидуального предпринимателя, составляется акт проверки по типовой форме, утвержденной Приказом Минэкономразвития РФ от 30.04.2009 № 141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реализации положений Федерального закона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проведения документарной или выездной проверки в отношении юридических лиц, индивидуальных предпринимателей не может превышать двадцать рабочих дней.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исполнения муниципального контроля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обеспечением сохранности автомобильных дорог является установление факта соблюдения (несоблюдения) юридическими лицами, их руководителями и иными должностными лицами, индивидуальными предпринимателями, их уполномоченными представителями, обязательных требований.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исполнения муниципальной функции является: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составление акта проверки юридического лица, индивидуального предпринимателя;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принятие по результатам проверки предусмотренных законодательством мер в случае выявления нарушений обязательных требований.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выявления при проведении проверки нарушений юридическим лицом, индивидуальным предпринимателем обязательных требований уполномоченные лица администрации, проводившие проверку, в пределах полномочий, предусмотренных законодательством Российской Федерации: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фактам нарушений обязательных требований информация о выявленных нарушениях с материалами проверки не позднее 10 дней после окончания проверки направляется письмом за подписью главы Суляевского сельского поселения в уполномоченные органы для составления протоколов об административных правонарушениях в соответствии с компетенцией органа.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Учет материалов, направленных в органы, уполномоченные на принятие мер по фактам выявленных нарушений в части, не относящейся к полномочиям органа местного самоуправления, ведут уполномоченные лица администрации с последующим учетом принятых такими органами мер.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 3.</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Финансовое и кадровое обеспечение государственного контроля (надзора), муниципального контроля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Муниципальный контроль, за обеспечением сохранности автомобильных дорог местного значения в границах населенных пунктов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 сведения, характеризующие финансовое обеспечение исполнения функций по осуществлению муниципального контроля: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бюджете администрации Суляевского сельского поселения Кумылженского  муниципального района Волгоградской области  расходы на осуществление муниципального контроля за сохранностью автомобильных дорог местного значения в границах Кумылженского сельского поселения не предусмотрены;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519"/>
        <w:gridCol w:w="1857"/>
        <w:gridCol w:w="1985"/>
        <w:gridCol w:w="1701"/>
        <w:gridCol w:w="1843"/>
        <w:gridCol w:w="1666"/>
      </w:tblGrid>
      <w:tr>
        <w:trPr>
          <w:trHeight w:val="1083" w:hRule="auto"/>
          <w:jc w:val="left"/>
        </w:trPr>
        <w:tc>
          <w:tcPr>
            <w:tcW w:w="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18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Наименование </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органа местного самоуправления</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Функция по контролю</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Планируемое выделение бюджетных средств,</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тыс. руб.</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Фактическое выделение бюджетных средств,</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тыс. руб.</w:t>
            </w:r>
          </w:p>
        </w:tc>
        <w:tc>
          <w:tcPr>
            <w:tcW w:w="16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Средний расход на одну проверку,</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тыс. руб.</w:t>
            </w:r>
          </w:p>
        </w:tc>
      </w:tr>
      <w:tr>
        <w:trPr>
          <w:trHeight w:val="20" w:hRule="auto"/>
          <w:jc w:val="left"/>
        </w:trPr>
        <w:tc>
          <w:tcPr>
            <w:tcW w:w="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8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Суляевского сельского</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поселения</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Исполнение муниципальной функции по осуществлению муниципального контроля за обеспечением сохранности автомобильных дорог местного значения</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без финансирования</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без финансирования</w:t>
            </w:r>
          </w:p>
        </w:tc>
        <w:tc>
          <w:tcPr>
            <w:tcW w:w="16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без финансирования</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 данные о штатной численности работников органов муниципального контроля, выполняющих функции по контролю: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проведение мероприятий по муниципальному контролю за обеспечением сохранности автомобильных дорог местного значения в границах Суляевского сельского поселения осуществляет специалист  администрации в дополнение к своей основной работе, специалист администрации Суляевского сельского поселения (1 чел.).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Сведения о штатной численности работников органов контроля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об укомплектованности штатной численности: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625"/>
        <w:gridCol w:w="2798"/>
        <w:gridCol w:w="3406"/>
        <w:gridCol w:w="1696"/>
        <w:gridCol w:w="1775"/>
      </w:tblGrid>
      <w:tr>
        <w:trPr>
          <w:trHeight w:val="832" w:hRule="auto"/>
          <w:jc w:val="center"/>
        </w:trPr>
        <w:tc>
          <w:tcPr>
            <w:tcW w:w="62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37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376"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п/п</w:t>
            </w:r>
          </w:p>
        </w:tc>
        <w:tc>
          <w:tcPr>
            <w:tcW w:w="27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37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Наименование </w:t>
            </w:r>
          </w:p>
          <w:p>
            <w:pPr>
              <w:tabs>
                <w:tab w:val="left" w:pos="376"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органа местного самоуправления</w:t>
            </w:r>
          </w:p>
        </w:tc>
        <w:tc>
          <w:tcPr>
            <w:tcW w:w="340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376"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Функция по контролю</w:t>
            </w:r>
          </w:p>
        </w:tc>
        <w:tc>
          <w:tcPr>
            <w:tcW w:w="169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376"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Штатная численность</w:t>
            </w:r>
          </w:p>
        </w:tc>
        <w:tc>
          <w:tcPr>
            <w:tcW w:w="177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376"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Фактическая численность</w:t>
            </w:r>
          </w:p>
        </w:tc>
      </w:tr>
      <w:tr>
        <w:trPr>
          <w:trHeight w:val="503" w:hRule="auto"/>
          <w:jc w:val="center"/>
        </w:trPr>
        <w:tc>
          <w:tcPr>
            <w:tcW w:w="62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376"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27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37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Администрация</w:t>
            </w:r>
          </w:p>
          <w:p>
            <w:pPr>
              <w:tabs>
                <w:tab w:val="left" w:pos="37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Суляевского сельского </w:t>
            </w:r>
          </w:p>
          <w:p>
            <w:pPr>
              <w:tabs>
                <w:tab w:val="left" w:pos="376"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поселения</w:t>
            </w:r>
          </w:p>
        </w:tc>
        <w:tc>
          <w:tcPr>
            <w:tcW w:w="340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376"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Исполнение муниципальной функции по осуществлению муниципального контроля за обеспечением сохранности автомобильных дорог местного значения</w:t>
            </w:r>
          </w:p>
        </w:tc>
        <w:tc>
          <w:tcPr>
            <w:tcW w:w="169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376"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77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376"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сведения о квалификации работников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 мероприятиях по повышению их квалификации: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лицо, осуществляющее муниципальные проверки обладает необходимыми знаниями, умениями и навыками для выполнения функций муниципального контроля за  сохранностью автомобильных дорог местного значения в границах  Суляевского сельского поселения;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данные о средней нагрузке на 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работника по фактически выполненному в отчетный период объему функций по контролю: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данные о средней нагрузке на 1 работника по фактически выполненному в отчетный период объему функций по контролю нельзя просчитать, так как мероприятия по муниципальному контролю за обеспечением сохранности автомобильных дорог местного значения в границах населенных пунктов администрацией Суляевского сельского поселения за  2019 год не проводились;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 численность экспертов и представителей экспертных организаций, привлекаемых к проведению мероприятий по контролю: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эксперты и представители экспертных организаций для проведения мероприятий по муниципальному контролю за сохранностью автомобильных дорог местного значения в границах Суляевского сельского поселения не привлекались.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 4.</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Проведение государственного контроля (надзора),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муниципального контроля</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Муниципальный контроль, за обеспечением сохранности автомобильных дорог местного значения в границах населенных пунктов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Суляевского сельского поселения: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сведения, характеризующие выполненную в отчетный период работу по осуществлению государственного контроля и муниципального контроля по соответствующим сферам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2019 год администрацией Суляевского сельского поселения Кумылженского района Волгоградской области  проверки по использованию автомобильных дорог местного значения в границах населенных пунктов юридическими лицами и индивидуальными предпринимателями, не проводились.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Всего 82,4 километра автомобильных дорог находится на балансе администрации Суляевского сельского поселения Кумылженского муниципального района Волгоградской области.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В 2019 года эксперты и экспертные организации при проведении мероприятий по контролю не привлекались. </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Сведения, характеризующие выполненную в отчетный период работу по осуществлению муниципального жилищного контроля</w:t>
      </w:r>
    </w:p>
    <w:tbl>
      <w:tblPr/>
      <w:tblGrid>
        <w:gridCol w:w="462"/>
        <w:gridCol w:w="1771"/>
        <w:gridCol w:w="1971"/>
        <w:gridCol w:w="1106"/>
        <w:gridCol w:w="1440"/>
        <w:gridCol w:w="1164"/>
        <w:gridCol w:w="1471"/>
      </w:tblGrid>
      <w:tr>
        <w:trPr>
          <w:trHeight w:val="1" w:hRule="atLeast"/>
          <w:jc w:val="center"/>
        </w:trPr>
        <w:tc>
          <w:tcPr>
            <w:tcW w:w="462"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1771"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Наименование органа местного самоуправления</w:t>
            </w:r>
          </w:p>
        </w:tc>
        <w:tc>
          <w:tcPr>
            <w:tcW w:w="1971"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Функция по контролю</w:t>
            </w:r>
          </w:p>
        </w:tc>
        <w:tc>
          <w:tcPr>
            <w:tcW w:w="2546"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Количество проверок, проведённых в первом полугодии</w:t>
            </w:r>
          </w:p>
        </w:tc>
        <w:tc>
          <w:tcPr>
            <w:tcW w:w="263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Количество проверок, проведённых во втором полугодии</w:t>
            </w:r>
          </w:p>
        </w:tc>
      </w:tr>
      <w:tr>
        <w:trPr>
          <w:trHeight w:val="1" w:hRule="atLeast"/>
          <w:jc w:val="center"/>
        </w:trPr>
        <w:tc>
          <w:tcPr>
            <w:tcW w:w="462"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7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7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0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плановых</w:t>
            </w:r>
          </w:p>
        </w:tc>
        <w:tc>
          <w:tcPr>
            <w:tcW w:w="14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внеплановых</w:t>
            </w:r>
          </w:p>
        </w:tc>
        <w:tc>
          <w:tcPr>
            <w:tcW w:w="116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плановых</w:t>
            </w:r>
          </w:p>
        </w:tc>
        <w:tc>
          <w:tcPr>
            <w:tcW w:w="14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внеплановых</w:t>
            </w:r>
          </w:p>
        </w:tc>
      </w:tr>
      <w:tr>
        <w:trPr>
          <w:trHeight w:val="1" w:hRule="atLeast"/>
          <w:jc w:val="center"/>
        </w:trPr>
        <w:tc>
          <w:tcPr>
            <w:tcW w:w="46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7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Администрация Суляевского сельского</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поселения</w:t>
            </w:r>
          </w:p>
        </w:tc>
        <w:tc>
          <w:tcPr>
            <w:tcW w:w="19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Осуществление муниципального жилищного контроля</w:t>
            </w:r>
          </w:p>
        </w:tc>
        <w:tc>
          <w:tcPr>
            <w:tcW w:w="110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4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16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47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 5.</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Действия органов государственного контроля (надзора),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муниципального контроля по пресечению нарушений обязательных требований 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 устранению последствий таких нарушений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Муниципальный контроль, за обеспечением сохранности автомобильных дорог местного значения в границах населенных пунктов Суляевского сельского поселения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Должностными лицами, осуществляющими муниципальный контроль за сохранностью автомобильных дорог местного значения в границах Суляевского сельского поселения, по результатам проверки за использованием автомобильных дорог местного значения в границах Суляевского сельского поселения, делается вывод о наличии или отсутствии нарушения обязательных требований законодательства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выявлении нарушения муниципального контроля за сохранностью автомобильных дорог местного значения в границах Суляевского сельского поселения, оформленные в установленном порядке материалы проверки направляются в соответствующие компетентные органы (суд, должностным лицам), уполномоченным в соответствии с действующим законодательством рассматривать дела о правонарушениях, для решения вопроса о наложении предусмотренного законодательством наказания.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2019 году администрацией Суляевского сельского поселения Кумылженского муниципального района Волгоградской области  проверки за сохранностью автомобильных дорог местного значения в границах Суляевского сельского поселения, юридическими лицами и индивидуальными предпринимателями, не проводились, в связи с этим  факты о нарушениях не выявлены.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 6.</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 и оценка эффективности государственного</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контроля (надзора), муниципального контроля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Муниципальный контроль, за обеспечением сохранности автомобильных дорог местного значения в границах населенных пунктов  Суляевского сельского поселения:</w:t>
      </w:r>
      <w:r>
        <w:rPr>
          <w:rFonts w:ascii="Times New Roman" w:hAnsi="Times New Roman" w:cs="Times New Roman" w:eastAsia="Times New Roman"/>
          <w:color w:val="auto"/>
          <w:spacing w:val="0"/>
          <w:position w:val="0"/>
          <w:sz w:val="24"/>
          <w:shd w:fill="auto" w:val="clear"/>
        </w:rPr>
        <w:t xml:space="preserve"> </w:t>
      </w:r>
    </w:p>
    <w:tbl>
      <w:tblPr/>
      <w:tblGrid>
        <w:gridCol w:w="7543"/>
        <w:gridCol w:w="992"/>
        <w:gridCol w:w="993"/>
      </w:tblGrid>
      <w:tr>
        <w:trPr>
          <w:trHeight w:val="505" w:hRule="auto"/>
          <w:jc w:val="left"/>
        </w:trPr>
        <w:tc>
          <w:tcPr>
            <w:tcW w:w="7543" w:type="dxa"/>
            <w:tcBorders>
              <w:top w:val="single" w:color="000000" w:sz="8"/>
              <w:left w:val="single" w:color="000000" w:sz="8"/>
              <w:bottom w:val="single" w:color="000000" w:sz="8"/>
              <w:right w:val="single" w:color="000000" w:sz="8"/>
            </w:tcBorders>
            <w:shd w:color="auto" w:fill="ffffff" w:val="clear"/>
            <w:tcMar>
              <w:left w:w="30" w:type="dxa"/>
              <w:right w:w="30" w:type="dxa"/>
            </w:tcMar>
            <w:vAlign w:val="center"/>
          </w:tcPr>
          <w:p>
            <w:pPr>
              <w:spacing w:before="0" w:after="0" w:line="240"/>
              <w:ind w:right="33" w:left="33"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Показатели оценки эффективности</w:t>
            </w:r>
          </w:p>
        </w:tc>
        <w:tc>
          <w:tcPr>
            <w:tcW w:w="992" w:type="dxa"/>
            <w:tcBorders>
              <w:top w:val="single" w:color="000000" w:sz="8"/>
              <w:left w:val="single" w:color="e7e7e7" w:sz="2"/>
              <w:bottom w:val="single" w:color="000000" w:sz="8"/>
              <w:right w:val="single" w:color="000000" w:sz="8"/>
            </w:tcBorders>
            <w:shd w:color="auto" w:fill="ffffff" w:val="clear"/>
            <w:tcMar>
              <w:left w:w="30" w:type="dxa"/>
              <w:right w:w="30" w:type="dxa"/>
            </w:tcMar>
            <w:vAlign w:val="center"/>
          </w:tcPr>
          <w:p>
            <w:pPr>
              <w:spacing w:before="0" w:after="0" w:line="240"/>
              <w:ind w:right="33" w:left="33"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Ед. изм.</w:t>
            </w:r>
          </w:p>
        </w:tc>
        <w:tc>
          <w:tcPr>
            <w:tcW w:w="993" w:type="dxa"/>
            <w:tcBorders>
              <w:top w:val="single" w:color="000000" w:sz="8"/>
              <w:left w:val="single" w:color="e7e7e7" w:sz="2"/>
              <w:bottom w:val="single" w:color="000000" w:sz="8"/>
              <w:right w:val="single" w:color="000000" w:sz="8"/>
            </w:tcBorders>
            <w:shd w:color="auto" w:fill="ffffff" w:val="clear"/>
            <w:tcMar>
              <w:left w:w="30" w:type="dxa"/>
              <w:right w:w="30" w:type="dxa"/>
            </w:tcMar>
            <w:vAlign w:val="center"/>
          </w:tcPr>
          <w:p>
            <w:pPr>
              <w:spacing w:before="0" w:after="0" w:line="240"/>
              <w:ind w:right="33" w:left="33"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201</w:t>
            </w:r>
            <w:r>
              <w:rPr>
                <w:rFonts w:ascii="Times New Roman" w:hAnsi="Times New Roman" w:cs="Times New Roman" w:eastAsia="Times New Roman"/>
                <w:b/>
                <w:color w:val="000000"/>
                <w:spacing w:val="0"/>
                <w:position w:val="0"/>
                <w:sz w:val="24"/>
                <w:shd w:fill="auto" w:val="clear"/>
              </w:rPr>
              <w:t xml:space="preserve">9</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год</w:t>
            </w:r>
          </w:p>
        </w:tc>
      </w:tr>
      <w:tr>
        <w:trPr>
          <w:trHeight w:val="681" w:hRule="auto"/>
          <w:jc w:val="left"/>
        </w:trPr>
        <w:tc>
          <w:tcPr>
            <w:tcW w:w="7543" w:type="dxa"/>
            <w:tcBorders>
              <w:top w:val="single" w:color="e7e7e7" w:sz="2"/>
              <w:left w:val="single" w:color="000000" w:sz="8"/>
              <w:bottom w:val="single" w:color="000000" w:sz="8"/>
              <w:right w:val="single" w:color="000000" w:sz="8"/>
            </w:tcBorders>
            <w:shd w:color="auto" w:fill="ffffff" w:val="clear"/>
            <w:tcMar>
              <w:left w:w="30" w:type="dxa"/>
              <w:right w:w="3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Выполнение плана проведения проверок (доля проведенных плановых проверок в процентах от общего количества запланированных проверок);</w:t>
            </w:r>
          </w:p>
        </w:tc>
        <w:tc>
          <w:tcPr>
            <w:tcW w:w="992" w:type="dxa"/>
            <w:tcBorders>
              <w:top w:val="single" w:color="e7e7e7" w:sz="2"/>
              <w:left w:val="single" w:color="e7e7e7" w:sz="2"/>
              <w:bottom w:val="single" w:color="000000" w:sz="8"/>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993" w:type="dxa"/>
            <w:tcBorders>
              <w:top w:val="single" w:color="e7e7e7" w:sz="2"/>
              <w:left w:val="single" w:color="e7e7e7" w:sz="2"/>
              <w:bottom w:val="single" w:color="000000" w:sz="8"/>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0</w:t>
            </w:r>
          </w:p>
        </w:tc>
      </w:tr>
      <w:tr>
        <w:trPr>
          <w:trHeight w:val="1064" w:hRule="auto"/>
          <w:jc w:val="left"/>
        </w:trPr>
        <w:tc>
          <w:tcPr>
            <w:tcW w:w="7543" w:type="dxa"/>
            <w:tcBorders>
              <w:top w:val="single" w:color="e7e7e7" w:sz="2"/>
              <w:left w:val="single" w:color="000000" w:sz="8"/>
              <w:bottom w:val="single" w:color="000000" w:sz="8"/>
              <w:right w:val="single" w:color="000000" w:sz="8"/>
            </w:tcBorders>
            <w:shd w:color="auto" w:fill="ffffff" w:val="clear"/>
            <w:tcMar>
              <w:left w:w="30" w:type="dxa"/>
              <w:right w:w="3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доля заявлений органов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992" w:type="dxa"/>
            <w:tcBorders>
              <w:top w:val="single" w:color="e7e7e7" w:sz="2"/>
              <w:left w:val="single" w:color="e7e7e7" w:sz="2"/>
              <w:bottom w:val="single" w:color="000000" w:sz="8"/>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993" w:type="dxa"/>
            <w:tcBorders>
              <w:top w:val="single" w:color="e7e7e7" w:sz="2"/>
              <w:left w:val="single" w:color="e7e7e7" w:sz="2"/>
              <w:bottom w:val="single" w:color="000000" w:sz="8"/>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0</w:t>
            </w:r>
          </w:p>
        </w:tc>
      </w:tr>
      <w:tr>
        <w:trPr>
          <w:trHeight w:val="541" w:hRule="auto"/>
          <w:jc w:val="left"/>
        </w:trPr>
        <w:tc>
          <w:tcPr>
            <w:tcW w:w="7543" w:type="dxa"/>
            <w:tcBorders>
              <w:top w:val="single" w:color="e7e7e7" w:sz="2"/>
              <w:left w:val="single" w:color="000000" w:sz="8"/>
              <w:bottom w:val="single" w:color="000000" w:sz="8"/>
              <w:right w:val="single" w:color="000000" w:sz="8"/>
            </w:tcBorders>
            <w:shd w:color="auto" w:fill="ffffff" w:val="clear"/>
            <w:tcMar>
              <w:left w:w="30" w:type="dxa"/>
              <w:right w:w="3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доля проверок, результаты которых признаны недействительными (в процентах от общего числа проведенных проверок)</w:t>
            </w:r>
          </w:p>
        </w:tc>
        <w:tc>
          <w:tcPr>
            <w:tcW w:w="992" w:type="dxa"/>
            <w:tcBorders>
              <w:top w:val="single" w:color="e7e7e7" w:sz="2"/>
              <w:left w:val="single" w:color="e7e7e7" w:sz="2"/>
              <w:bottom w:val="single" w:color="000000" w:sz="8"/>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993" w:type="dxa"/>
            <w:tcBorders>
              <w:top w:val="single" w:color="e7e7e7" w:sz="2"/>
              <w:left w:val="single" w:color="e7e7e7" w:sz="2"/>
              <w:bottom w:val="single" w:color="000000" w:sz="8"/>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0</w:t>
            </w:r>
          </w:p>
        </w:tc>
      </w:tr>
      <w:tr>
        <w:trPr>
          <w:trHeight w:val="1311" w:hRule="auto"/>
          <w:jc w:val="left"/>
        </w:trPr>
        <w:tc>
          <w:tcPr>
            <w:tcW w:w="7543" w:type="dxa"/>
            <w:tcBorders>
              <w:top w:val="single" w:color="e7e7e7" w:sz="2"/>
              <w:left w:val="single" w:color="000000" w:sz="8"/>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доля проверок, проведенных органами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992" w:type="dxa"/>
            <w:tcBorders>
              <w:top w:val="single" w:color="e7e7e7" w:sz="2"/>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993" w:type="dxa"/>
            <w:tcBorders>
              <w:top w:val="single" w:color="e7e7e7" w:sz="2"/>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0</w:t>
            </w:r>
          </w:p>
        </w:tc>
      </w:tr>
      <w:tr>
        <w:trPr>
          <w:trHeight w:val="1624" w:hRule="auto"/>
          <w:jc w:val="left"/>
        </w:trPr>
        <w:tc>
          <w:tcPr>
            <w:tcW w:w="7543" w:type="dxa"/>
            <w:tcBorders>
              <w:top w:val="single" w:color="000000" w:sz="4"/>
              <w:left w:val="single" w:color="000000" w:sz="8"/>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доля юридических лиц, индивидуальных предпринимателей, в отношении которых органами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контролю</w:t>
            </w:r>
          </w:p>
        </w:tc>
        <w:tc>
          <w:tcPr>
            <w:tcW w:w="992" w:type="dxa"/>
            <w:tcBorders>
              <w:top w:val="single" w:color="000000" w:sz="4"/>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993" w:type="dxa"/>
            <w:tcBorders>
              <w:top w:val="single" w:color="000000" w:sz="4"/>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0</w:t>
            </w:r>
          </w:p>
        </w:tc>
      </w:tr>
      <w:tr>
        <w:trPr>
          <w:trHeight w:val="107" w:hRule="auto"/>
          <w:jc w:val="left"/>
        </w:trPr>
        <w:tc>
          <w:tcPr>
            <w:tcW w:w="7543" w:type="dxa"/>
            <w:tcBorders>
              <w:top w:val="single" w:color="000000" w:sz="4"/>
              <w:left w:val="single" w:color="000000" w:sz="8"/>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e7e7e7" w:sz="2"/>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3" w:type="dxa"/>
            <w:tcBorders>
              <w:top w:val="single" w:color="000000" w:sz="4"/>
              <w:left w:val="single" w:color="e7e7e7" w:sz="2"/>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569" w:hRule="auto"/>
          <w:jc w:val="left"/>
        </w:trPr>
        <w:tc>
          <w:tcPr>
            <w:tcW w:w="7543" w:type="dxa"/>
            <w:tcBorders>
              <w:top w:val="single" w:color="e7e7e7" w:sz="2"/>
              <w:left w:val="single" w:color="000000" w:sz="8"/>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среднее количество проверок, проведенных в отношении одного юридического лица, индивидуального предпринимателя</w:t>
            </w:r>
          </w:p>
        </w:tc>
        <w:tc>
          <w:tcPr>
            <w:tcW w:w="992" w:type="dxa"/>
            <w:tcBorders>
              <w:top w:val="single" w:color="e7e7e7" w:sz="2"/>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шт.</w:t>
            </w:r>
          </w:p>
        </w:tc>
        <w:tc>
          <w:tcPr>
            <w:tcW w:w="993" w:type="dxa"/>
            <w:tcBorders>
              <w:top w:val="single" w:color="e7e7e7" w:sz="2"/>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0</w:t>
            </w:r>
          </w:p>
        </w:tc>
      </w:tr>
      <w:tr>
        <w:trPr>
          <w:trHeight w:val="690" w:hRule="auto"/>
          <w:jc w:val="left"/>
        </w:trPr>
        <w:tc>
          <w:tcPr>
            <w:tcW w:w="7543" w:type="dxa"/>
            <w:tcBorders>
              <w:top w:val="single" w:color="000000" w:sz="4"/>
              <w:left w:val="single" w:color="000000" w:sz="8"/>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доля проведенных внеплановых проверок (в процентах от общего количества проведенных проверок)</w:t>
            </w:r>
          </w:p>
        </w:tc>
        <w:tc>
          <w:tcPr>
            <w:tcW w:w="992" w:type="dxa"/>
            <w:tcBorders>
              <w:top w:val="single" w:color="000000" w:sz="4"/>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993" w:type="dxa"/>
            <w:tcBorders>
              <w:top w:val="single" w:color="000000" w:sz="4"/>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0</w:t>
            </w:r>
          </w:p>
        </w:tc>
      </w:tr>
      <w:tr>
        <w:trPr>
          <w:trHeight w:val="655" w:hRule="auto"/>
          <w:jc w:val="left"/>
        </w:trPr>
        <w:tc>
          <w:tcPr>
            <w:tcW w:w="7543" w:type="dxa"/>
            <w:tcBorders>
              <w:top w:val="single" w:color="000000" w:sz="4"/>
              <w:left w:val="single" w:color="000000" w:sz="8"/>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992" w:type="dxa"/>
            <w:tcBorders>
              <w:top w:val="single" w:color="000000" w:sz="4"/>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993" w:type="dxa"/>
            <w:tcBorders>
              <w:top w:val="single" w:color="000000" w:sz="4"/>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0</w:t>
            </w:r>
          </w:p>
        </w:tc>
      </w:tr>
      <w:tr>
        <w:trPr>
          <w:trHeight w:val="2191" w:hRule="auto"/>
          <w:jc w:val="left"/>
        </w:trPr>
        <w:tc>
          <w:tcPr>
            <w:tcW w:w="7543" w:type="dxa"/>
            <w:tcBorders>
              <w:top w:val="single" w:color="000000" w:sz="4"/>
              <w:left w:val="single" w:color="000000" w:sz="8"/>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w:t>
            </w:r>
          </w:p>
        </w:tc>
        <w:tc>
          <w:tcPr>
            <w:tcW w:w="992" w:type="dxa"/>
            <w:tcBorders>
              <w:top w:val="single" w:color="000000" w:sz="4"/>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993" w:type="dxa"/>
            <w:tcBorders>
              <w:top w:val="single" w:color="000000" w:sz="4"/>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0</w:t>
            </w:r>
          </w:p>
        </w:tc>
      </w:tr>
      <w:tr>
        <w:trPr>
          <w:trHeight w:val="92" w:hRule="auto"/>
          <w:jc w:val="left"/>
        </w:trPr>
        <w:tc>
          <w:tcPr>
            <w:tcW w:w="7543" w:type="dxa"/>
            <w:tcBorders>
              <w:top w:val="single" w:color="000000" w:sz="4"/>
              <w:left w:val="single" w:color="000000" w:sz="8"/>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e7e7e7" w:sz="2"/>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3" w:type="dxa"/>
            <w:tcBorders>
              <w:top w:val="single" w:color="000000" w:sz="4"/>
              <w:left w:val="single" w:color="e7e7e7" w:sz="2"/>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236" w:hRule="auto"/>
          <w:jc w:val="left"/>
        </w:trPr>
        <w:tc>
          <w:tcPr>
            <w:tcW w:w="7543" w:type="dxa"/>
            <w:tcBorders>
              <w:top w:val="single" w:color="e7e7e7" w:sz="2"/>
              <w:left w:val="single" w:color="000000" w:sz="8"/>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от общего количества проведенных внеплановых проверок)</w:t>
            </w:r>
          </w:p>
        </w:tc>
        <w:tc>
          <w:tcPr>
            <w:tcW w:w="992" w:type="dxa"/>
            <w:tcBorders>
              <w:top w:val="single" w:color="e7e7e7" w:sz="2"/>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993" w:type="dxa"/>
            <w:tcBorders>
              <w:top w:val="single" w:color="e7e7e7" w:sz="2"/>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0</w:t>
            </w:r>
          </w:p>
        </w:tc>
      </w:tr>
      <w:tr>
        <w:trPr>
          <w:trHeight w:val="174" w:hRule="auto"/>
          <w:jc w:val="left"/>
        </w:trPr>
        <w:tc>
          <w:tcPr>
            <w:tcW w:w="7543" w:type="dxa"/>
            <w:tcBorders>
              <w:top w:val="single" w:color="000000" w:sz="4"/>
              <w:left w:val="single" w:color="000000" w:sz="8"/>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e7e7e7" w:sz="2"/>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3" w:type="dxa"/>
            <w:tcBorders>
              <w:top w:val="single" w:color="000000" w:sz="4"/>
              <w:left w:val="single" w:color="e7e7e7" w:sz="2"/>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624" w:hRule="auto"/>
          <w:jc w:val="left"/>
        </w:trPr>
        <w:tc>
          <w:tcPr>
            <w:tcW w:w="7543" w:type="dxa"/>
            <w:tcBorders>
              <w:top w:val="single" w:color="e7e7e7" w:sz="2"/>
              <w:left w:val="single" w:color="000000" w:sz="8"/>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доля проверок, по итогам которых выявлены правонарушения (в процентах от общего числа проведенных плановых и внеплановых проверок)</w:t>
            </w:r>
          </w:p>
        </w:tc>
        <w:tc>
          <w:tcPr>
            <w:tcW w:w="992" w:type="dxa"/>
            <w:tcBorders>
              <w:top w:val="single" w:color="e7e7e7" w:sz="2"/>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993" w:type="dxa"/>
            <w:tcBorders>
              <w:top w:val="single" w:color="e7e7e7" w:sz="2"/>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0</w:t>
            </w:r>
          </w:p>
        </w:tc>
      </w:tr>
      <w:tr>
        <w:trPr>
          <w:trHeight w:val="930" w:hRule="auto"/>
          <w:jc w:val="left"/>
        </w:trPr>
        <w:tc>
          <w:tcPr>
            <w:tcW w:w="7543" w:type="dxa"/>
            <w:tcBorders>
              <w:top w:val="single" w:color="000000" w:sz="4"/>
              <w:left w:val="single" w:color="000000" w:sz="8"/>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992" w:type="dxa"/>
            <w:tcBorders>
              <w:top w:val="single" w:color="000000" w:sz="4"/>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993" w:type="dxa"/>
            <w:tcBorders>
              <w:top w:val="single" w:color="000000" w:sz="4"/>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0</w:t>
            </w:r>
          </w:p>
        </w:tc>
      </w:tr>
      <w:tr>
        <w:trPr>
          <w:trHeight w:val="1211" w:hRule="auto"/>
          <w:jc w:val="left"/>
        </w:trPr>
        <w:tc>
          <w:tcPr>
            <w:tcW w:w="7543" w:type="dxa"/>
            <w:tcBorders>
              <w:top w:val="single" w:color="000000" w:sz="4"/>
              <w:left w:val="single" w:color="000000" w:sz="8"/>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92" w:type="dxa"/>
            <w:tcBorders>
              <w:top w:val="single" w:color="000000" w:sz="4"/>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993" w:type="dxa"/>
            <w:tcBorders>
              <w:top w:val="single" w:color="000000" w:sz="4"/>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0</w:t>
            </w:r>
          </w:p>
        </w:tc>
      </w:tr>
      <w:tr>
        <w:trPr>
          <w:trHeight w:val="117" w:hRule="auto"/>
          <w:jc w:val="left"/>
        </w:trPr>
        <w:tc>
          <w:tcPr>
            <w:tcW w:w="7543" w:type="dxa"/>
            <w:tcBorders>
              <w:top w:val="single" w:color="000000" w:sz="4"/>
              <w:left w:val="single" w:color="000000" w:sz="8"/>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e7e7e7" w:sz="2"/>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3" w:type="dxa"/>
            <w:tcBorders>
              <w:top w:val="single" w:color="000000" w:sz="4"/>
              <w:left w:val="single" w:color="e7e7e7" w:sz="2"/>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222" w:hRule="auto"/>
          <w:jc w:val="left"/>
        </w:trPr>
        <w:tc>
          <w:tcPr>
            <w:tcW w:w="7543" w:type="dxa"/>
            <w:tcBorders>
              <w:top w:val="single" w:color="e7e7e7" w:sz="2"/>
              <w:left w:val="single" w:color="000000" w:sz="8"/>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w:t>
            </w:r>
          </w:p>
        </w:tc>
        <w:tc>
          <w:tcPr>
            <w:tcW w:w="992" w:type="dxa"/>
            <w:tcBorders>
              <w:top w:val="single" w:color="e7e7e7" w:sz="2"/>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993" w:type="dxa"/>
            <w:tcBorders>
              <w:top w:val="single" w:color="e7e7e7" w:sz="2"/>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0</w:t>
            </w:r>
          </w:p>
        </w:tc>
      </w:tr>
      <w:tr>
        <w:trPr>
          <w:trHeight w:val="184" w:hRule="auto"/>
          <w:jc w:val="left"/>
        </w:trPr>
        <w:tc>
          <w:tcPr>
            <w:tcW w:w="7543" w:type="dxa"/>
            <w:tcBorders>
              <w:top w:val="single" w:color="000000" w:sz="4"/>
              <w:left w:val="single" w:color="000000" w:sz="4"/>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e7e7e7" w:sz="2"/>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3" w:type="dxa"/>
            <w:tcBorders>
              <w:top w:val="single" w:color="000000" w:sz="4"/>
              <w:left w:val="single" w:color="e7e7e7" w:sz="2"/>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025" w:hRule="auto"/>
          <w:jc w:val="left"/>
        </w:trPr>
        <w:tc>
          <w:tcPr>
            <w:tcW w:w="7543" w:type="dxa"/>
            <w:tcBorders>
              <w:top w:val="single" w:color="e7e7e7" w:sz="2"/>
              <w:left w:val="single" w:color="000000" w:sz="4"/>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
        </w:tc>
        <w:tc>
          <w:tcPr>
            <w:tcW w:w="992" w:type="dxa"/>
            <w:tcBorders>
              <w:top w:val="single" w:color="e7e7e7" w:sz="2"/>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993" w:type="dxa"/>
            <w:tcBorders>
              <w:top w:val="single" w:color="e7e7e7" w:sz="2"/>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0</w:t>
            </w:r>
          </w:p>
        </w:tc>
      </w:tr>
      <w:tr>
        <w:trPr>
          <w:trHeight w:val="107" w:hRule="auto"/>
          <w:jc w:val="left"/>
        </w:trPr>
        <w:tc>
          <w:tcPr>
            <w:tcW w:w="7543" w:type="dxa"/>
            <w:tcBorders>
              <w:top w:val="single" w:color="000000" w:sz="4"/>
              <w:left w:val="single" w:color="000000" w:sz="4"/>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e7e7e7" w:sz="2"/>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3" w:type="dxa"/>
            <w:tcBorders>
              <w:top w:val="single" w:color="000000" w:sz="4"/>
              <w:left w:val="single" w:color="e7e7e7" w:sz="2"/>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609" w:hRule="auto"/>
          <w:jc w:val="left"/>
        </w:trPr>
        <w:tc>
          <w:tcPr>
            <w:tcW w:w="7543" w:type="dxa"/>
            <w:tcBorders>
              <w:top w:val="single" w:color="e7e7e7" w:sz="2"/>
              <w:left w:val="single" w:color="000000" w:sz="8"/>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tc>
        <w:tc>
          <w:tcPr>
            <w:tcW w:w="992" w:type="dxa"/>
            <w:tcBorders>
              <w:top w:val="single" w:color="e7e7e7" w:sz="2"/>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шт.</w:t>
            </w:r>
          </w:p>
        </w:tc>
        <w:tc>
          <w:tcPr>
            <w:tcW w:w="993" w:type="dxa"/>
            <w:tcBorders>
              <w:top w:val="single" w:color="e7e7e7" w:sz="2"/>
              <w:left w:val="single" w:color="e7e7e7" w:sz="2"/>
              <w:bottom w:val="single" w:color="000000" w:sz="4"/>
              <w:right w:val="single" w:color="000000" w:sz="8"/>
            </w:tcBorders>
            <w:shd w:color="auto" w:fill="ffffff" w:val="clear"/>
            <w:tcMar>
              <w:left w:w="30" w:type="dxa"/>
              <w:right w:w="30" w:type="dxa"/>
            </w:tcMar>
            <w:vAlign w:val="top"/>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0</w:t>
            </w:r>
          </w:p>
        </w:tc>
      </w:tr>
      <w:tr>
        <w:trPr>
          <w:trHeight w:val="109" w:hRule="auto"/>
          <w:jc w:val="left"/>
        </w:trPr>
        <w:tc>
          <w:tcPr>
            <w:tcW w:w="7543" w:type="dxa"/>
            <w:tcBorders>
              <w:top w:val="single" w:color="000000" w:sz="4"/>
              <w:left w:val="single" w:color="000000" w:sz="8"/>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e7e7e7" w:sz="2"/>
              <w:bottom w:val="single" w:color="e7e7e7" w:sz="2"/>
              <w:right w:val="single" w:color="000000" w:sz="4"/>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3" w:type="dxa"/>
            <w:tcBorders>
              <w:top w:val="single" w:color="000000" w:sz="4"/>
              <w:left w:val="single" w:color="000000" w:sz="4"/>
              <w:bottom w:val="single" w:color="e7e7e7" w:sz="2"/>
              <w:right w:val="single" w:color="000000" w:sz="8"/>
            </w:tcBorders>
            <w:shd w:color="auto" w:fill="ffffff" w:val="clear"/>
            <w:tcMar>
              <w:left w:w="30" w:type="dxa"/>
              <w:right w:w="3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0" w:hRule="auto"/>
          <w:jc w:val="left"/>
        </w:trPr>
        <w:tc>
          <w:tcPr>
            <w:tcW w:w="7543" w:type="dxa"/>
            <w:tcBorders>
              <w:top w:val="single" w:color="e7e7e7" w:sz="2"/>
              <w:left w:val="single" w:color="000000" w:sz="8"/>
              <w:bottom w:val="single" w:color="000000" w:sz="4"/>
              <w:right w:val="single" w:color="000000" w:sz="8"/>
            </w:tcBorders>
            <w:shd w:color="auto" w:fill="ffffff" w:val="clear"/>
            <w:tcMar>
              <w:left w:w="30" w:type="dxa"/>
              <w:right w:w="3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992" w:type="dxa"/>
            <w:tcBorders>
              <w:top w:val="single" w:color="e7e7e7" w:sz="2"/>
              <w:left w:val="single" w:color="e7e7e7" w:sz="2"/>
              <w:bottom w:val="single" w:color="000000" w:sz="4"/>
              <w:right w:val="single" w:color="000000" w:sz="8"/>
            </w:tcBorders>
            <w:shd w:color="auto" w:fill="ffffff" w:val="clear"/>
            <w:tcMar>
              <w:left w:w="30" w:type="dxa"/>
              <w:right w:w="30" w:type="dxa"/>
            </w:tcMar>
            <w:vAlign w:val="center"/>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993" w:type="dxa"/>
            <w:tcBorders>
              <w:top w:val="single" w:color="e7e7e7" w:sz="2"/>
              <w:left w:val="single" w:color="e7e7e7" w:sz="2"/>
              <w:bottom w:val="single" w:color="000000" w:sz="4"/>
              <w:right w:val="single" w:color="000000" w:sz="8"/>
            </w:tcBorders>
            <w:shd w:color="auto" w:fill="ffffff" w:val="clear"/>
            <w:tcMar>
              <w:left w:w="30" w:type="dxa"/>
              <w:right w:w="30" w:type="dxa"/>
            </w:tcMar>
            <w:vAlign w:val="center"/>
          </w:tcPr>
          <w:p>
            <w:pPr>
              <w:spacing w:before="0" w:after="0" w:line="240"/>
              <w:ind w:right="33" w:left="33"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 7.</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Выводы и предложения по результатам государственного</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контроля (надзора), муниципального контроля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Муниципальный контроль, за обеспечением сохранности автомобильных дорог местного значения в границах населенных пунктов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Суляевского сельского поселения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Выводов и предложений по результатам муниципального контроля нет, так как муниципальный контроль за сохранностью автомобильных дорог местного значения в границах Суляевского сельского поселения администрацией  Суляевского  сельского поселения не проводился.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Приложения</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13" Type="http://schemas.openxmlformats.org/officeDocument/2006/relationships/numbering"/><Relationship TargetMode="External" Target="consultantplus://offline/ref=9B85A28E12BF694E1BF12922DDCD003B14546A0471FFC51C5A5B7399C749AB5E6DEF515862A5Q7H" Id="docRId3" Type="http://schemas.openxmlformats.org/officeDocument/2006/relationships/hyperlink"/><Relationship TargetMode="External" Target="consultantplus://offline/ref=8AA30C28F054FB872E1F3D4D9BCD61C4D274F41B6612CE908B8B5352ADFDA2A0F6A76471n4u1K" Id="docRId7" Type="http://schemas.openxmlformats.org/officeDocument/2006/relationships/hyperlink"/><Relationship TargetMode="External" Target="consultantplus://offline/ref=8AB40BA227B47D12FB84652FCC8E4F1EB4D2777E77536F17B971F04C64o6X2H" Id="docRId10" Type="http://schemas.openxmlformats.org/officeDocument/2006/relationships/hyperlink"/><Relationship Target="styles.xml" Id="docRId14" Type="http://schemas.openxmlformats.org/officeDocument/2006/relationships/styles"/><Relationship TargetMode="External" Target="consultantplus://offline/ref=3A3BC6876E95F16C0FE9E65BA091DAB9316094C760BE3D2BE7143ECE8827U9H" Id="docRId2" Type="http://schemas.openxmlformats.org/officeDocument/2006/relationships/hyperlink"/><Relationship TargetMode="External" Target="consultantplus://offline/ref=BD23973D747F6D8F9975578CA47A3BEA9346674C49E50BA00059E46FEEK2HEH" Id="docRId6" Type="http://schemas.openxmlformats.org/officeDocument/2006/relationships/hyperlink"/><Relationship TargetMode="External" Target="consultantplus://offline/ref=9B85A28E12BF694E1BF12922DDCD003B1454690572F9C51C5A5B7399C7A4Q9H" Id="docRId1" Type="http://schemas.openxmlformats.org/officeDocument/2006/relationships/hyperlink"/><Relationship TargetMode="External" Target="consultantplus://offline/ref=8AA30C28F054FB872E1F23408DA13EC1D378A9116F16C0C6DEDB5505F2ADA4F5B6nEu7K" Id="docRId11" Type="http://schemas.openxmlformats.org/officeDocument/2006/relationships/hyperlink"/><Relationship TargetMode="External" Target="consultantplus://offline/ref=8AA30C28F054FB872E1F3D4D9BCD61C4D275F11C6B16CE908B8B5352ADnFuDK" Id="docRId5" Type="http://schemas.openxmlformats.org/officeDocument/2006/relationships/hyperlink"/><Relationship TargetMode="External" Target="consultantplus://offline/ref=8AB40BA227B47D12FB84652FCC8E4F1EB4D4767875536F17B971F04C64o6X2H" Id="docRId9" Type="http://schemas.openxmlformats.org/officeDocument/2006/relationships/hyperlink"/><Relationship TargetMode="External" Target="http://www.pravo.gov.ru/" Id="docRId0" Type="http://schemas.openxmlformats.org/officeDocument/2006/relationships/hyperlink"/><Relationship TargetMode="External" Target="consultantplus://offline/ref=8AFA7A4290B8E1EF3B4439B0721121D46E44589C9D6771AD421D3874F35E1F56D5166A9748iDM" Id="docRId12" Type="http://schemas.openxmlformats.org/officeDocument/2006/relationships/hyperlink"/><Relationship TargetMode="External" Target="consultantplus://offline/ref=8AA30C28F054FB872E1F3D4D9BCD61C4D274F61E6B13CE908B8B5352ADnFuDK" Id="docRId4" Type="http://schemas.openxmlformats.org/officeDocument/2006/relationships/hyperlink"/><Relationship TargetMode="External" Target="consultantplus://offline/ref=22934955B679CF324C16DDA56E489119DFF3F04C120D56C8E0FB5FC82Ae1W7I" Id="docRId8" Type="http://schemas.openxmlformats.org/officeDocument/2006/relationships/hyperlink"/></Relationships>
</file>