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284" w:leader="none"/>
          <w:tab w:val="left" w:pos="426" w:leader="none"/>
          <w:tab w:val="left" w:pos="852"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30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Основные направления бюджетной и налоговой политики в СУЛЯЕВСКОМ  СЕЛЬСКОМ ПОСЕЛЕНИИ КУМЫЛженСКОГО  МУНИЦИПАЛЬНОГО  РАЙОНА  ВОЛГОГРАДСКОЙ  ОБЛАСТИ  НА   2021 год И НА ПЛАНОВЫЙ ПЕРИОД 2022 и 2023 ГОДОВ </w:t>
      </w:r>
    </w:p>
    <w:p>
      <w:pPr>
        <w:spacing w:before="0" w:after="0" w:line="30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направления бюджетной, налоговой  политики Суляевского  сельского поселения Кумылженского муниципального района Волгоградской области на 2021 год и плановый период 2022 и 2023 годов определены в соответствии с Бюджетным кодексом Российской Федерации, Посланием Президента Российской Федерации Федеральному собранию  РФ  от 15.01.2020, Федеральным законом от 06.10.2003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Положением о бюджетном процессе Суляевского сельского поселения, утвержденным решением Совета депутатов Суляевского сельского поселения от 27.02.2017 № 3/1-С, а также с учетом прогноза социально-экономического развития Суляевского сельского поселения Кумылженского муниципального района Волгоградской области  на 2021-2023 годы.</w:t>
      </w:r>
    </w:p>
    <w:p>
      <w:pPr>
        <w:spacing w:before="100" w:after="100" w:line="240"/>
        <w:ind w:right="0" w:left="0" w:firstLine="30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Целью основных направлений бюджетной и налоговой политики является описание условий, используемых при составлении проекта бюджета Суляевского сельского поселения</w:t>
      </w:r>
      <w:r>
        <w:rPr>
          <w:rFonts w:ascii="Times New Roman" w:hAnsi="Times New Roman" w:cs="Times New Roman" w:eastAsia="Times New Roman"/>
          <w:color w:val="auto"/>
          <w:spacing w:val="0"/>
          <w:position w:val="0"/>
          <w:sz w:val="24"/>
          <w:shd w:fill="auto" w:val="clear"/>
        </w:rPr>
        <w:t xml:space="preserve">Кумылженского муниципального района Волгоградской области </w:t>
      </w:r>
      <w:r>
        <w:rPr>
          <w:rFonts w:ascii="Times New Roman" w:hAnsi="Times New Roman" w:cs="Times New Roman" w:eastAsia="Times New Roman"/>
          <w:color w:val="000000"/>
          <w:spacing w:val="0"/>
          <w:position w:val="0"/>
          <w:sz w:val="24"/>
          <w:shd w:fill="FFFFFF" w:val="clear"/>
        </w:rPr>
        <w:t xml:space="preserve"> на 2021 – 2023 годы, основных подходов к его формированию и общего порядка разработки основных характеристик и прогнозируемых параметров бюджета Суляевского сельского поселения </w:t>
      </w:r>
      <w:r>
        <w:rPr>
          <w:rFonts w:ascii="Times New Roman" w:hAnsi="Times New Roman" w:cs="Times New Roman" w:eastAsia="Times New Roman"/>
          <w:color w:val="auto"/>
          <w:spacing w:val="0"/>
          <w:position w:val="0"/>
          <w:sz w:val="24"/>
          <w:shd w:fill="auto" w:val="clear"/>
        </w:rPr>
        <w:t xml:space="preserve">Кумылженского муниципального района Волгоградской области </w:t>
      </w:r>
      <w:r>
        <w:rPr>
          <w:rFonts w:ascii="Times New Roman" w:hAnsi="Times New Roman" w:cs="Times New Roman" w:eastAsia="Times New Roman"/>
          <w:color w:val="000000"/>
          <w:spacing w:val="0"/>
          <w:position w:val="0"/>
          <w:sz w:val="24"/>
          <w:shd w:fill="FFFFFF" w:val="clear"/>
        </w:rPr>
        <w:t xml:space="preserve">, а также обеспечение прозрачности и открытости бюджетного планирования.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достижения указанной цели необходимо сосредоточить усилия на решении следующих задач:</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Обеспечение бюджетной устойчивости, экономической стабильности.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Данная общая задача включает в себя: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поддержание сбалансированного бюджета;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r>
        <w:rPr>
          <w:rFonts w:ascii="Times New Roman" w:hAnsi="Times New Roman" w:cs="Times New Roman" w:eastAsia="Times New Roman"/>
          <w:color w:val="000000"/>
          <w:spacing w:val="0"/>
          <w:position w:val="0"/>
          <w:sz w:val="24"/>
          <w:shd w:fill="FFFFFF" w:val="clear"/>
        </w:rPr>
        <w:t xml:space="preserve">в</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рамках которого предусмотрены мероприятия по:</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формированию перечней муниципальных услуг на основе законодательно утвержденных</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базовых отраслевых перечней услуг;</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обеспечению взаимосвязи между муниципальным заданием и показателями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муниципальных программ нацеленных на решение задач социально-экономического развития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Суляевского сельского поселения;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совершенствованию методологии расчета нормативных затрат на оказание</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муниципальных услуг, принятие мер по оптимизации затрат на их оказание;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Повышение эффективности межбюджетных отношений.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Прозрачность и открытость бюджетного процесса.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2020-2022 годах в числе основных направлений необходимо обеспечить совершенствование мер, направленных на повышение открытости бюджетных данных.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нормативного правового акта о бюджете, отчетов об исполнении бюджета.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Электронный бюджет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подключение к работе в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Электронный бюджет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всех публично-правовых образований.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пунктом 1 части 1 приказа Министерства финансов Российской Федерации от 20.11.2007 № 112н (в редакции приказа от 30.09.2016 № 168н)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требованиях к порядку составления, утверждения и ведения бюджетных смет казенных учреждений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2019 года составление, утверждение и ведение бюджетной сметы муниципального казенного учреждения будет осуществляться с использованием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Электронный бюджет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что будет способствовать </w:t>
      </w:r>
      <w:r>
        <w:rPr>
          <w:rFonts w:ascii="Times New Roman" w:hAnsi="Times New Roman" w:cs="Times New Roman" w:eastAsia="Times New Roman"/>
          <w:color w:val="auto"/>
          <w:spacing w:val="0"/>
          <w:position w:val="0"/>
          <w:sz w:val="24"/>
          <w:shd w:fill="auto" w:val="clear"/>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www.bus.gov.ru</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Развитие системы финансового контроля направлено на повышение ответственности      всех участников бюджетного процесса за качество бюджетного планирования, эффективное  использование бюджетных средств Суляевского сельского поселения, включая: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исполнение бюджета поселения на основе кассового плана;</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обеспечение контроля за отсутствием кредиторской задолженности по принятым</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обязательствам, в первую очередь по заработной плате и социальным выплатам;</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повышение качества бюджетного учета и бюджетной отчетности;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внедрение механизма аргументации экономической, финансовой и социальнойцелесообразности инвестиций в процедуру планирования бюджетных инвестиций в объекты   капитального строительства;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контроль за целевым и эффективным использованием средств бюджета поселения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Необходимо обеспечить повышение эффективности контроля закупок, в целях повышения эффективности его применения.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Развитие контрактной системы в сфере муниципальных закупок товаров, работ, услуг</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для обеспечения муниципальных нужд состоит в объединении закупочного и бюджетного</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процесса путем:</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совершенствования института нормирования закупок;</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перехода к использованию автоматизированных систем управления контрольными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процедурами;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обеспечение минимизации дебиторской задолженности по контрактам;</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развития информационной среды, способствующего повышению прозрачности 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ответственности.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Направления бюджетной и налоговой  политики Суляевского сельского поселения  в части формирования доходов и расходов бюджета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 2021 год и плановый период 2022-2023 годов</w:t>
      </w:r>
    </w:p>
    <w:p>
      <w:pPr>
        <w:spacing w:before="0" w:after="0" w:line="240"/>
        <w:ind w:right="0" w:left="0" w:firstLine="708"/>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Основные направления налоговой политики на 2021 год и на плановый период 2022 и 2023годов разработаны с учетом базового варианта сценарных условий, основных параметров прогноза социально-экономического развития Российской Федерации, а также основных показателей прогноза социально-экономического развития  Волгоградской области  на 2021 год и на плановый  период 2022 и 2023 годов.</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Налоговая политика поселения в 2021 году ориентирована на мобилизацию собственных  доходов на основе экономического роста и развития доходного потенциала, повышение  бюджетной устойчивости, системное развитие как экономической, так и социальной сферы, с продолжением курса на создание благоприятных условий для развития предпринимательства в Суляевском  сельском поселении, стимулирование инвестиционной привлекательности  муниципального образования.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Прогнозные разработки по каждому виду доходов производятся главными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администраторами доходов бюджета поселения, на базе сложившейся динамики их начислений и поступлений, ожидаемой оценки доходов в текущем году, задолженности по налогам, а также  прогнозируемых показателей по фонду оплаты труда и темпам его роста, нормативной стоимости  земли и объектов недвижимого имущества, заключенных договоров на передачу в аренду  земельных участков и имущества, налогооблагаемой прибыли, действующих ставок по налоговым и неналоговым платежам, а также экономических темпов инфляции, базовым из которых является  индекс роста потребительских цен.</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Для достижения поставленных целей налоговой политики одним из необходимых условий является продолжение совместной работы с налоговыми органами в части выявления резервов  увеличения налоговой базы местных налогов, повышения эффективности администрирования  доходов бюджета поселения и пресечения уклонения от их уплаты.</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Основными направлениями налоговой политики на 2021 год и на плановый период 2022 и </w:t>
      </w:r>
      <w:r>
        <w:rPr>
          <w:rFonts w:ascii="Times New Roman" w:hAnsi="Times New Roman" w:cs="Times New Roman" w:eastAsia="Times New Roman"/>
          <w:color w:val="000000"/>
          <w:spacing w:val="0"/>
          <w:position w:val="0"/>
          <w:sz w:val="24"/>
          <w:shd w:fill="FFFFFF" w:val="clear"/>
        </w:rPr>
        <w:t xml:space="preserve">2023 </w:t>
      </w:r>
      <w:r>
        <w:rPr>
          <w:rFonts w:ascii="Times New Roman" w:hAnsi="Times New Roman" w:cs="Times New Roman" w:eastAsia="Times New Roman"/>
          <w:color w:val="000000"/>
          <w:spacing w:val="0"/>
          <w:position w:val="0"/>
          <w:sz w:val="24"/>
          <w:shd w:fill="FFFFFF" w:val="clear"/>
        </w:rPr>
        <w:t xml:space="preserve">годов являются: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Укрепление и развитие собственной доходной базы бюджета поселения за счет</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повышения эффективности использования имущества муниципального образования, в том числе:</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проведение мероприятий по выявлению и вовлечению в налоговый оборот объектов</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имущества, расположенных на территории поселения;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проведение инвентаризации имущественного комплекса поселения, в том числе</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продолжение работы по выявлению землепользователей, не имеющих правоустанавливающих</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документов на землю, решение вопросов оформления права собственности на земельные участки  или арендных отношений;</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работа с должниками Комиссией по рассмотрению вопросов, связанных с обеспечением поступлений налоговых и неналоговых доходов в бюджет муниципального образования  Суляевского  сельского поселения;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ведение мониторинга эффективности администрирования неналоговых доходов бюджета  поселения;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Осуществление мероприятий по стимулированию инвестиционной привлекательности: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проведение инвестиционных форумов с целью привлечения частных инвестиций в</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общественную инфраструктуру, создания новых рабочих мест и увеличения поступлений</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налоговых и неналоговых доходов;</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ведение и регулярное обновление электронной базы данных земельных участков.</w:t>
      </w:r>
    </w:p>
    <w:p>
      <w:pPr>
        <w:spacing w:before="0" w:after="0" w:line="240"/>
        <w:ind w:right="0" w:left="0" w:firstLine="708"/>
        <w:jc w:val="both"/>
        <w:rPr>
          <w:rFonts w:ascii="Times New Roman" w:hAnsi="Times New Roman" w:cs="Times New Roman" w:eastAsia="Times New Roman"/>
          <w:b/>
          <w:color w:val="000000"/>
          <w:spacing w:val="0"/>
          <w:position w:val="0"/>
          <w:sz w:val="24"/>
          <w:shd w:fill="auto" w:val="clear"/>
        </w:rPr>
      </w:pPr>
    </w:p>
    <w:p>
      <w:pPr>
        <w:spacing w:before="0" w:after="0" w:line="240"/>
        <w:ind w:right="0" w:left="851"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Приоритеты налоговой политики Суляевского сельского поселения Кумылженского муниципального района Волгоградской области направлены на:</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эффективной и стабильной налоговой системы, поддержание сбалансированности и устойчивости бюджета Суляевского сельского поселения ; </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стимулирование и развитие малого бизнеса; </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недопущение роста налоговой нагрузки на экономику; </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улучшение инвестиционного климата и поддержку инновационного предпринимательства в Суляевском сельском поселении, налоговое стимулирование инвестиционной деятельности; </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эффективности использования муниципальной собственности; - поиск новых источников пополнения бюджета Суляевского сельского поселения. </w:t>
      </w:r>
      <w:r>
        <w:rPr>
          <w:rFonts w:ascii="Times New Roman" w:hAnsi="Times New Roman" w:cs="Times New Roman" w:eastAsia="Times New Roman"/>
          <w:color w:val="000000"/>
          <w:spacing w:val="0"/>
          <w:position w:val="0"/>
          <w:sz w:val="24"/>
          <w:shd w:fill="auto" w:val="clear"/>
        </w:rPr>
        <w:t xml:space="preserve">В этих условиях налоговая политика </w:t>
      </w:r>
      <w:r>
        <w:rPr>
          <w:rFonts w:ascii="Times New Roman" w:hAnsi="Times New Roman" w:cs="Times New Roman" w:eastAsia="Times New Roman"/>
          <w:color w:val="auto"/>
          <w:spacing w:val="0"/>
          <w:position w:val="0"/>
          <w:sz w:val="24"/>
          <w:shd w:fill="auto" w:val="clear"/>
        </w:rPr>
        <w:t xml:space="preserve">Суляевского</w:t>
      </w:r>
      <w:r>
        <w:rPr>
          <w:rFonts w:ascii="Times New Roman" w:hAnsi="Times New Roman" w:cs="Times New Roman" w:eastAsia="Times New Roman"/>
          <w:color w:val="000000"/>
          <w:spacing w:val="0"/>
          <w:position w:val="0"/>
          <w:sz w:val="24"/>
          <w:shd w:fill="auto" w:val="clear"/>
        </w:rPr>
        <w:t xml:space="preserve"> сельского поселения должна быть ориентирована на увеличение налоговых доходов за счет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Предотвращение уменьшения налогооблагаемой базы НДФЛ путем сохранения действующих и создания новых рабочих мест.</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Актуальной остается и задача взыскания недоимки по налогам и сборам с должников местного бюджета.</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оформлению и государственной регистрации земельных паев и прочих земель, находящихся в собственности у граждан. </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rFonts w:ascii="Times New Roman" w:hAnsi="Times New Roman" w:cs="Times New Roman" w:eastAsia="Times New Roman"/>
          <w:color w:val="auto"/>
          <w:spacing w:val="0"/>
          <w:position w:val="0"/>
          <w:sz w:val="24"/>
          <w:shd w:fill="auto" w:val="clear"/>
        </w:rPr>
        <w:t xml:space="preserve">выбору налогоплательщика).</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2021-2023 годах будет направлена на оптимизацию и повышение эффективности бюджетных расходов. Основными принципами бюджетной политики </w:t>
      </w:r>
      <w:r>
        <w:rPr>
          <w:rFonts w:ascii="Times New Roman" w:hAnsi="Times New Roman" w:cs="Times New Roman" w:eastAsia="Times New Roman"/>
          <w:color w:val="auto"/>
          <w:spacing w:val="0"/>
          <w:position w:val="0"/>
          <w:sz w:val="24"/>
          <w:shd w:fill="auto" w:val="clear"/>
        </w:rPr>
        <w:t xml:space="preserve">Суляевского</w:t>
      </w:r>
      <w:r>
        <w:rPr>
          <w:rFonts w:ascii="Times New Roman" w:hAnsi="Times New Roman" w:cs="Times New Roman" w:eastAsia="Times New Roman"/>
          <w:color w:val="000000"/>
          <w:spacing w:val="0"/>
          <w:position w:val="0"/>
          <w:sz w:val="24"/>
          <w:shd w:fill="auto" w:val="clear"/>
        </w:rPr>
        <w:t xml:space="preserve"> сельского поселения </w:t>
      </w:r>
      <w:r>
        <w:rPr>
          <w:rFonts w:ascii="Times New Roman" w:hAnsi="Times New Roman" w:cs="Times New Roman" w:eastAsia="Times New Roman"/>
          <w:color w:val="auto"/>
          <w:spacing w:val="0"/>
          <w:position w:val="0"/>
          <w:sz w:val="24"/>
          <w:shd w:fill="auto" w:val="clear"/>
        </w:rPr>
        <w:t xml:space="preserve">Кумылженского муниципального района Волгоградской области </w:t>
      </w:r>
      <w:r>
        <w:rPr>
          <w:rFonts w:ascii="Times New Roman" w:hAnsi="Times New Roman" w:cs="Times New Roman" w:eastAsia="Times New Roman"/>
          <w:color w:val="000000"/>
          <w:spacing w:val="0"/>
          <w:position w:val="0"/>
          <w:sz w:val="24"/>
          <w:shd w:fill="auto" w:val="clear"/>
        </w:rPr>
        <w:t xml:space="preserve">будут сокращение необоснованных бюджетных расходов. В связи с этим необходимо решить следующие задачи:</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обеспечить концентрацию бюджетных расходов на решении ключевых проблем и достижении конечных результатов;</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обеспечить сбалансированность местного бюджета в среднесрочной перспективе;</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Волгоградской области;</w:t>
      </w:r>
    </w:p>
    <w:p>
      <w:pPr>
        <w:spacing w:before="0" w:after="0" w:line="240"/>
        <w:ind w:right="0"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добиваться повышения качества планирования главными распорядителями бюджетных средств своих расходов и их эффективности.</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основной целью бюджетной политики на 2021 год и плановый период 2022-2023 годов </w:t>
      </w:r>
      <w:r>
        <w:rPr>
          <w:rFonts w:ascii="Times New Roman" w:hAnsi="Times New Roman" w:cs="Times New Roman" w:eastAsia="Times New Roman"/>
          <w:color w:val="000000"/>
          <w:spacing w:val="-3"/>
          <w:position w:val="0"/>
          <w:sz w:val="24"/>
          <w:shd w:fill="auto" w:val="clear"/>
        </w:rPr>
        <w:t xml:space="preserve">приоритетами бюджетных расходов станут:</w:t>
      </w:r>
    </w:p>
    <w:p>
      <w:pPr>
        <w:numPr>
          <w:ilvl w:val="0"/>
          <w:numId w:val="12"/>
        </w:numPr>
        <w:tabs>
          <w:tab w:val="left" w:pos="408" w:leader="none"/>
        </w:tabs>
        <w:spacing w:before="0" w:after="0" w:line="240"/>
        <w:ind w:right="0" w:left="293"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 </w:t>
      </w:r>
      <w:r>
        <w:rPr>
          <w:rFonts w:ascii="Times New Roman" w:hAnsi="Times New Roman" w:cs="Times New Roman" w:eastAsia="Times New Roman"/>
          <w:color w:val="000000"/>
          <w:spacing w:val="-3"/>
          <w:position w:val="0"/>
          <w:sz w:val="24"/>
          <w:shd w:fill="FFFFFF" w:val="clear"/>
        </w:rPr>
        <w:t xml:space="preserve">выплата заработной платы;</w:t>
      </w:r>
    </w:p>
    <w:p>
      <w:pPr>
        <w:numPr>
          <w:ilvl w:val="0"/>
          <w:numId w:val="12"/>
        </w:numPr>
        <w:tabs>
          <w:tab w:val="left" w:pos="408" w:leader="none"/>
          <w:tab w:val="left" w:pos="5395" w:leader="none"/>
          <w:tab w:val="left" w:pos="6797" w:leader="hyphen"/>
        </w:tabs>
        <w:spacing w:before="0" w:after="0" w:line="240"/>
        <w:ind w:right="0" w:left="293"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 </w:t>
      </w:r>
      <w:r>
        <w:rPr>
          <w:rFonts w:ascii="Times New Roman" w:hAnsi="Times New Roman" w:cs="Times New Roman" w:eastAsia="Times New Roman"/>
          <w:color w:val="000000"/>
          <w:spacing w:val="-4"/>
          <w:position w:val="0"/>
          <w:sz w:val="24"/>
          <w:shd w:fill="FFFFFF" w:val="clear"/>
        </w:rPr>
        <w:t xml:space="preserve">начисления на заработную плату;</w:t>
      </w:r>
    </w:p>
    <w:p>
      <w:pPr>
        <w:numPr>
          <w:ilvl w:val="0"/>
          <w:numId w:val="12"/>
        </w:numPr>
        <w:tabs>
          <w:tab w:val="left" w:pos="408" w:leader="none"/>
        </w:tabs>
        <w:spacing w:before="0" w:after="0" w:line="240"/>
        <w:ind w:right="0" w:left="293"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 </w:t>
      </w:r>
      <w:r>
        <w:rPr>
          <w:rFonts w:ascii="Times New Roman" w:hAnsi="Times New Roman" w:cs="Times New Roman" w:eastAsia="Times New Roman"/>
          <w:color w:val="000000"/>
          <w:spacing w:val="-4"/>
          <w:position w:val="0"/>
          <w:sz w:val="24"/>
          <w:shd w:fill="FFFFFF" w:val="clear"/>
        </w:rPr>
        <w:t xml:space="preserve">социальные выплаты;</w:t>
      </w:r>
    </w:p>
    <w:p>
      <w:pPr>
        <w:numPr>
          <w:ilvl w:val="0"/>
          <w:numId w:val="12"/>
        </w:numPr>
        <w:tabs>
          <w:tab w:val="left" w:pos="408" w:leader="none"/>
        </w:tabs>
        <w:spacing w:before="0" w:after="0" w:line="240"/>
        <w:ind w:right="0" w:left="293"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 </w:t>
      </w:r>
      <w:r>
        <w:rPr>
          <w:rFonts w:ascii="Times New Roman" w:hAnsi="Times New Roman" w:cs="Times New Roman" w:eastAsia="Times New Roman"/>
          <w:color w:val="000000"/>
          <w:spacing w:val="-4"/>
          <w:position w:val="0"/>
          <w:sz w:val="24"/>
          <w:shd w:fill="FFFFFF" w:val="clear"/>
        </w:rPr>
        <w:t xml:space="preserve">коммунальные услуги; </w:t>
      </w:r>
    </w:p>
    <w:p>
      <w:pPr>
        <w:tabs>
          <w:tab w:val="left" w:pos="557" w:leader="none"/>
        </w:tabs>
        <w:spacing w:before="5" w:after="0" w:line="240"/>
        <w:ind w:right="0" w:left="38" w:firstLine="298"/>
        <w:jc w:val="both"/>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tab/>
      </w:r>
      <w:r>
        <w:rPr>
          <w:rFonts w:ascii="Times New Roman" w:hAnsi="Times New Roman" w:cs="Times New Roman" w:eastAsia="Times New Roman"/>
          <w:color w:val="000000"/>
          <w:spacing w:val="-2"/>
          <w:position w:val="0"/>
          <w:sz w:val="24"/>
          <w:shd w:fill="FFFFFF" w:val="clear"/>
        </w:rPr>
        <w:t xml:space="preserve">взвешенный подход к увеличению и принятию новых расходных обязательств. </w:t>
      </w:r>
    </w:p>
    <w:p>
      <w:pPr>
        <w:tabs>
          <w:tab w:val="left" w:pos="557" w:leader="none"/>
        </w:tabs>
        <w:spacing w:before="5" w:after="0" w:line="240"/>
        <w:ind w:right="0" w:left="38" w:firstLine="29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Принятие решений по увеличению действующих и (или) </w:t>
      </w:r>
      <w:r>
        <w:rPr>
          <w:rFonts w:ascii="Times New Roman" w:hAnsi="Times New Roman" w:cs="Times New Roman" w:eastAsia="Times New Roman"/>
          <w:color w:val="000000"/>
          <w:spacing w:val="-1"/>
          <w:position w:val="0"/>
          <w:sz w:val="24"/>
          <w:shd w:fill="FFFFFF" w:val="clear"/>
        </w:rPr>
        <w:t xml:space="preserve">установлению новых расходных обязательств должно производиться только в </w:t>
      </w:r>
      <w:r>
        <w:rPr>
          <w:rFonts w:ascii="Times New Roman" w:hAnsi="Times New Roman" w:cs="Times New Roman" w:eastAsia="Times New Roman"/>
          <w:color w:val="000000"/>
          <w:spacing w:val="-3"/>
          <w:position w:val="0"/>
          <w:sz w:val="24"/>
          <w:shd w:fill="FFFFFF" w:val="clear"/>
        </w:rPr>
        <w:t xml:space="preserve">пределах имеющихся для их реализации финансовых ресурсов.</w:t>
      </w:r>
    </w:p>
    <w:p>
      <w:pPr>
        <w:spacing w:before="0" w:after="0" w:line="24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4"/>
          <w:position w:val="0"/>
          <w:sz w:val="24"/>
          <w:shd w:fill="auto" w:val="clear"/>
        </w:rPr>
        <w:t xml:space="preserve">недопущение образования необоснованной кредиторской задолженности. </w:t>
      </w:r>
      <w:r>
        <w:rPr>
          <w:rFonts w:ascii="Times New Roman" w:hAnsi="Times New Roman" w:cs="Times New Roman" w:eastAsia="Times New Roman"/>
          <w:color w:val="000000"/>
          <w:spacing w:val="-1"/>
          <w:position w:val="0"/>
          <w:sz w:val="24"/>
          <w:shd w:fill="auto" w:val="clear"/>
        </w:rPr>
        <w:t xml:space="preserve">Исполнение бюджета сель</w:t>
      </w:r>
      <w:r>
        <w:rPr>
          <w:rFonts w:ascii="Times New Roman" w:hAnsi="Times New Roman" w:cs="Times New Roman" w:eastAsia="Times New Roman"/>
          <w:color w:val="000000"/>
          <w:spacing w:val="-2"/>
          <w:position w:val="0"/>
          <w:sz w:val="24"/>
          <w:shd w:fill="auto" w:val="clear"/>
        </w:rPr>
        <w:t xml:space="preserve">ского</w:t>
      </w:r>
      <w:r>
        <w:rPr>
          <w:rFonts w:ascii="Times New Roman" w:hAnsi="Times New Roman" w:cs="Times New Roman" w:eastAsia="Times New Roman"/>
          <w:color w:val="000000"/>
          <w:spacing w:val="-1"/>
          <w:position w:val="0"/>
          <w:sz w:val="24"/>
          <w:shd w:fill="auto" w:val="clear"/>
        </w:rPr>
        <w:t xml:space="preserve"> поселения должно осуществляться в рамках действующего </w:t>
      </w:r>
      <w:r>
        <w:rPr>
          <w:rFonts w:ascii="Times New Roman" w:hAnsi="Times New Roman" w:cs="Times New Roman" w:eastAsia="Times New Roman"/>
          <w:color w:val="000000"/>
          <w:spacing w:val="3"/>
          <w:position w:val="0"/>
          <w:sz w:val="24"/>
          <w:shd w:fill="auto" w:val="clear"/>
        </w:rPr>
        <w:t xml:space="preserve">законодательства Российской Федерации и в соответствии с</w:t>
      </w:r>
      <w:r>
        <w:rPr>
          <w:rFonts w:ascii="Times New Roman" w:hAnsi="Times New Roman" w:cs="Times New Roman" w:eastAsia="Times New Roman"/>
          <w:b/>
          <w:color w:val="000000"/>
          <w:spacing w:val="3"/>
          <w:position w:val="0"/>
          <w:sz w:val="24"/>
          <w:shd w:fill="auto" w:val="clear"/>
        </w:rPr>
        <w:t xml:space="preserve"> </w:t>
      </w:r>
      <w:r>
        <w:rPr>
          <w:rFonts w:ascii="Times New Roman" w:hAnsi="Times New Roman" w:cs="Times New Roman" w:eastAsia="Times New Roman"/>
          <w:color w:val="000000"/>
          <w:spacing w:val="3"/>
          <w:position w:val="0"/>
          <w:sz w:val="24"/>
          <w:shd w:fill="auto" w:val="clear"/>
        </w:rPr>
        <w:t xml:space="preserve">Положением о бюджетном процессе в </w:t>
      </w:r>
      <w:r>
        <w:rPr>
          <w:rFonts w:ascii="Times New Roman" w:hAnsi="Times New Roman" w:cs="Times New Roman" w:eastAsia="Times New Roman"/>
          <w:color w:val="000000"/>
          <w:spacing w:val="-1"/>
          <w:position w:val="0"/>
          <w:sz w:val="24"/>
          <w:shd w:fill="auto" w:val="clear"/>
        </w:rPr>
        <w:t xml:space="preserve">сель</w:t>
      </w:r>
      <w:r>
        <w:rPr>
          <w:rFonts w:ascii="Times New Roman" w:hAnsi="Times New Roman" w:cs="Times New Roman" w:eastAsia="Times New Roman"/>
          <w:color w:val="000000"/>
          <w:spacing w:val="-2"/>
          <w:position w:val="0"/>
          <w:sz w:val="24"/>
          <w:shd w:fill="auto" w:val="clear"/>
        </w:rPr>
        <w:t xml:space="preserve">ском</w:t>
      </w:r>
      <w:r>
        <w:rPr>
          <w:rFonts w:ascii="Times New Roman" w:hAnsi="Times New Roman" w:cs="Times New Roman" w:eastAsia="Times New Roman"/>
          <w:color w:val="000000"/>
          <w:spacing w:val="3"/>
          <w:position w:val="0"/>
          <w:sz w:val="24"/>
          <w:shd w:fill="auto" w:val="clear"/>
        </w:rPr>
        <w:t xml:space="preserve"> поселении, </w:t>
      </w:r>
      <w:r>
        <w:rPr>
          <w:rFonts w:ascii="Times New Roman" w:hAnsi="Times New Roman" w:cs="Times New Roman" w:eastAsia="Times New Roman"/>
          <w:color w:val="000000"/>
          <w:spacing w:val="-2"/>
          <w:position w:val="0"/>
          <w:sz w:val="24"/>
          <w:shd w:fill="auto" w:val="clear"/>
        </w:rPr>
        <w:t xml:space="preserve">сводной бюджетной росписью, кассовым планом исполнения бюджета </w:t>
      </w:r>
      <w:r>
        <w:rPr>
          <w:rFonts w:ascii="Times New Roman" w:hAnsi="Times New Roman" w:cs="Times New Roman" w:eastAsia="Times New Roman"/>
          <w:color w:val="000000"/>
          <w:spacing w:val="-1"/>
          <w:position w:val="0"/>
          <w:sz w:val="24"/>
          <w:shd w:fill="auto" w:val="clear"/>
        </w:rPr>
        <w:t xml:space="preserve">сель</w:t>
      </w:r>
      <w:r>
        <w:rPr>
          <w:rFonts w:ascii="Times New Roman" w:hAnsi="Times New Roman" w:cs="Times New Roman" w:eastAsia="Times New Roman"/>
          <w:color w:val="000000"/>
          <w:spacing w:val="-2"/>
          <w:position w:val="0"/>
          <w:sz w:val="24"/>
          <w:shd w:fill="auto" w:val="clear"/>
        </w:rPr>
        <w:t xml:space="preserve">ского</w:t>
      </w:r>
      <w:r>
        <w:rPr>
          <w:rFonts w:ascii="Times New Roman" w:hAnsi="Times New Roman" w:cs="Times New Roman" w:eastAsia="Times New Roman"/>
          <w:color w:val="000000"/>
          <w:spacing w:val="0"/>
          <w:position w:val="0"/>
          <w:sz w:val="24"/>
          <w:shd w:fill="auto" w:val="clear"/>
        </w:rPr>
        <w:t xml:space="preserve"> поселения </w:t>
      </w:r>
      <w:r>
        <w:rPr>
          <w:rFonts w:ascii="Times New Roman" w:hAnsi="Times New Roman" w:cs="Times New Roman" w:eastAsia="Times New Roman"/>
          <w:color w:val="000000"/>
          <w:spacing w:val="-3"/>
          <w:position w:val="0"/>
          <w:sz w:val="24"/>
          <w:shd w:fill="auto" w:val="clear"/>
        </w:rPr>
        <w:t xml:space="preserve">на основе казначейской системы исполнения бюджета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4B4C4D"/>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Бюджетная политика в сфере финансового контроля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сфере муниципального финансового контроля работа должна быть направлена на следующее:</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совершенствование правового регулирования муниципального финансового контроля в соответствии с изменениями бюджетного законодательства;</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обеспечение контроля за полнотой и достоверностью отчетности о реализации муниципальных программ сельского поселения;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проведение информационной работы по предупреждению нарушений бюджетного законодательства и законодательства о контрактной системе. </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clck.yandex.ru/redir/dv/*data=url%3Dhttp%253A%252F%252Fwww.bus.gov.ru%26ts%3D1473136813%26uid%3D8599273201464077077%26sign=4f0e0fa955623896cfddf560a8e3c57b%26keyno=1"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